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24" w:type="dxa"/>
        <w:tblInd w:w="-450" w:type="dxa"/>
        <w:tblLayout w:type="fixed"/>
        <w:tblLook w:val="0000" w:firstRow="0" w:lastRow="0" w:firstColumn="0" w:lastColumn="0" w:noHBand="0" w:noVBand="0"/>
      </w:tblPr>
      <w:tblGrid>
        <w:gridCol w:w="4500"/>
        <w:gridCol w:w="443"/>
        <w:gridCol w:w="5381"/>
      </w:tblGrid>
      <w:tr w:rsidR="00E86852" w:rsidRPr="00376227" w14:paraId="3E84CC34" w14:textId="77777777" w:rsidTr="009761C0">
        <w:trPr>
          <w:trHeight w:val="575"/>
        </w:trPr>
        <w:tc>
          <w:tcPr>
            <w:tcW w:w="4500" w:type="dxa"/>
          </w:tcPr>
          <w:p w14:paraId="0450B317" w14:textId="3AC1CDF7" w:rsidR="00E86852" w:rsidRPr="00376227" w:rsidRDefault="00E86852" w:rsidP="009761C0">
            <w:pPr>
              <w:jc w:val="center"/>
              <w:rPr>
                <w:rFonts w:ascii="Times New Roman" w:hAnsi="Times New Roman"/>
                <w:sz w:val="26"/>
                <w:szCs w:val="26"/>
              </w:rPr>
            </w:pPr>
            <w:r w:rsidRPr="00376227">
              <w:rPr>
                <w:rFonts w:ascii="Times New Roman" w:hAnsi="Times New Roman"/>
                <w:sz w:val="26"/>
                <w:szCs w:val="26"/>
              </w:rPr>
              <w:t>BỘ XÂY DỰNG</w:t>
            </w:r>
          </w:p>
          <w:p w14:paraId="26F329E9" w14:textId="42BEF5A1" w:rsidR="00E86852" w:rsidRPr="00376227" w:rsidRDefault="00E86852" w:rsidP="009761C0">
            <w:pPr>
              <w:jc w:val="center"/>
              <w:rPr>
                <w:rFonts w:ascii="Times New Roman" w:hAnsi="Times New Roman"/>
                <w:b/>
                <w:sz w:val="26"/>
                <w:szCs w:val="26"/>
              </w:rPr>
            </w:pPr>
            <w:r w:rsidRPr="00376227">
              <w:rPr>
                <w:rFonts w:ascii="Times New Roman" w:hAnsi="Times New Roman"/>
                <w:b/>
                <w:sz w:val="26"/>
                <w:szCs w:val="26"/>
              </w:rPr>
              <w:t>CỤC HÀNG HẢI VÀ ĐƯỜNG THỦY</w:t>
            </w:r>
          </w:p>
          <w:p w14:paraId="599B9E18" w14:textId="77777777" w:rsidR="00E86852" w:rsidRPr="00376227" w:rsidRDefault="00E86852" w:rsidP="009761C0">
            <w:pPr>
              <w:jc w:val="center"/>
              <w:rPr>
                <w:rFonts w:ascii="Times New Roman" w:hAnsi="Times New Roman"/>
                <w:sz w:val="24"/>
                <w:szCs w:val="24"/>
              </w:rPr>
            </w:pPr>
            <w:r w:rsidRPr="00376227">
              <w:rPr>
                <w:rFonts w:ascii="Times New Roman" w:hAnsi="Times New Roman"/>
                <w:b/>
                <w:sz w:val="26"/>
                <w:szCs w:val="26"/>
              </w:rPr>
              <mc:AlternateContent>
                <mc:Choice Requires="wps">
                  <w:drawing>
                    <wp:anchor distT="0" distB="0" distL="114300" distR="114300" simplePos="0" relativeHeight="251661312" behindDoc="0" locked="0" layoutInCell="1" allowOverlap="1" wp14:anchorId="0D68B864" wp14:editId="4D165C88">
                      <wp:simplePos x="0" y="0"/>
                      <wp:positionH relativeFrom="column">
                        <wp:posOffset>952500</wp:posOffset>
                      </wp:positionH>
                      <wp:positionV relativeFrom="paragraph">
                        <wp:posOffset>180340</wp:posOffset>
                      </wp:positionV>
                      <wp:extent cx="775412" cy="7315"/>
                      <wp:effectExtent l="0" t="0" r="24765" b="31115"/>
                      <wp:wrapNone/>
                      <wp:docPr id="3" name="Straight Connector 3"/>
                      <wp:cNvGraphicFramePr/>
                      <a:graphic xmlns:a="http://schemas.openxmlformats.org/drawingml/2006/main">
                        <a:graphicData uri="http://schemas.microsoft.com/office/word/2010/wordprocessingShape">
                          <wps:wsp>
                            <wps:cNvCnPr/>
                            <wps:spPr>
                              <a:xfrm flipV="1">
                                <a:off x="0" y="0"/>
                                <a:ext cx="775412" cy="731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E0873A" id="Straight Connector 3"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5pt,14.2pt" to="136.0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" strokecolor="#4579b8 [3044]"/>
                  </w:pict>
                </mc:Fallback>
              </mc:AlternateContent>
            </w:r>
            <w:r w:rsidRPr="00376227">
              <w:rPr>
                <w:rFonts w:ascii="Times New Roman" w:hAnsi="Times New Roman"/>
                <w:b/>
                <w:sz w:val="26"/>
                <w:szCs w:val="26"/>
              </w:rPr>
              <w:t>VIỆT NAM</w:t>
            </w:r>
          </w:p>
        </w:tc>
        <w:tc>
          <w:tcPr>
            <w:tcW w:w="5824" w:type="dxa"/>
            <w:gridSpan w:val="2"/>
          </w:tcPr>
          <w:p w14:paraId="420CDF60" w14:textId="77777777" w:rsidR="00E86852" w:rsidRPr="00376227" w:rsidRDefault="00E86852" w:rsidP="009761C0">
            <w:pPr>
              <w:jc w:val="center"/>
              <w:rPr>
                <w:rFonts w:ascii="Times New Roman" w:hAnsi="Times New Roman"/>
                <w:b/>
                <w:sz w:val="26"/>
                <w:szCs w:val="26"/>
              </w:rPr>
            </w:pPr>
            <w:r w:rsidRPr="00376227">
              <w:rPr>
                <w:rFonts w:ascii="Times New Roman" w:hAnsi="Times New Roman"/>
                <w:b/>
                <w:sz w:val="26"/>
                <w:szCs w:val="26"/>
              </w:rPr>
              <w:t>CỘNG HÒA XÃ HỘI CHỦ NGHĨA VIỆT NAM</w:t>
            </w:r>
          </w:p>
          <w:p w14:paraId="02E24BDB" w14:textId="77777777" w:rsidR="00E86852" w:rsidRPr="00376227" w:rsidRDefault="00E86852" w:rsidP="009761C0">
            <w:pPr>
              <w:jc w:val="center"/>
              <w:rPr>
                <w:rFonts w:ascii="Times New Roman" w:hAnsi="Times New Roman"/>
              </w:rPr>
            </w:pPr>
            <w:r w:rsidRPr="00376227">
              <w:rPr>
                <w:rFonts w:ascii="Times New Roman" w:hAnsi="Times New Roman"/>
                <w:b/>
              </w:rPr>
              <mc:AlternateContent>
                <mc:Choice Requires="wps">
                  <w:drawing>
                    <wp:anchor distT="0" distB="0" distL="114300" distR="114300" simplePos="0" relativeHeight="251662336" behindDoc="0" locked="0" layoutInCell="1" allowOverlap="1" wp14:anchorId="3121E60A" wp14:editId="7299DBEC">
                      <wp:simplePos x="0" y="0"/>
                      <wp:positionH relativeFrom="column">
                        <wp:posOffset>699135</wp:posOffset>
                      </wp:positionH>
                      <wp:positionV relativeFrom="paragraph">
                        <wp:posOffset>204470</wp:posOffset>
                      </wp:positionV>
                      <wp:extent cx="2133600" cy="0"/>
                      <wp:effectExtent l="0" t="0" r="19050" b="19050"/>
                      <wp:wrapNone/>
                      <wp:docPr id="6" name="Straight Connector 6"/>
                      <wp:cNvGraphicFramePr/>
                      <a:graphic xmlns:a="http://schemas.openxmlformats.org/drawingml/2006/main">
                        <a:graphicData uri="http://schemas.microsoft.com/office/word/2010/wordprocessingShape">
                          <wps:wsp>
                            <wps:cNvCnPr/>
                            <wps:spPr>
                              <a:xfrm>
                                <a:off x="0" y="0"/>
                                <a:ext cx="21336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A4A4228" id="Straight Connector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5.05pt,16.1pt" to="223.05pt,1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" strokecolor="#4579b8 [3044]"/>
                  </w:pict>
                </mc:Fallback>
              </mc:AlternateContent>
            </w:r>
            <w:r w:rsidRPr="00376227">
              <w:rPr>
                <w:rFonts w:ascii="Times New Roman" w:hAnsi="Times New Roman"/>
                <w:b/>
              </w:rPr>
              <w:t>Độc lập - Tự do - Hạnh phúc</w:t>
            </w:r>
          </w:p>
        </w:tc>
      </w:tr>
      <w:tr w:rsidR="00E86852" w:rsidRPr="00376227" w14:paraId="0424A8B4" w14:textId="77777777" w:rsidTr="009761C0">
        <w:trPr>
          <w:trHeight w:val="1106"/>
        </w:trPr>
        <w:tc>
          <w:tcPr>
            <w:tcW w:w="4943" w:type="dxa"/>
            <w:gridSpan w:val="2"/>
          </w:tcPr>
          <w:p w14:paraId="079AB0DA" w14:textId="2A41B5A0" w:rsidR="00E86852" w:rsidRPr="004A355C" w:rsidRDefault="00E86852" w:rsidP="009761C0">
            <w:pPr>
              <w:jc w:val="center"/>
              <w:rPr>
                <w:rFonts w:ascii="Times New Roman" w:hAnsi="Times New Roman"/>
                <w:sz w:val="26"/>
                <w:szCs w:val="26"/>
              </w:rPr>
            </w:pPr>
            <w:r w:rsidRPr="004A355C">
              <w:rPr>
                <w:rFonts w:ascii="Times New Roman" w:hAnsi="Times New Roman"/>
                <w:sz w:val="26"/>
                <w:szCs w:val="26"/>
              </w:rPr>
              <w:t>Số:          /CHHĐTVN-PC</w:t>
            </w:r>
          </w:p>
          <w:p w14:paraId="547F4A06" w14:textId="1D153012" w:rsidR="00E86852" w:rsidRPr="004A355C" w:rsidRDefault="00E86852" w:rsidP="009761C0">
            <w:pPr>
              <w:jc w:val="both"/>
              <w:rPr>
                <w:rFonts w:ascii="Times New Roman" w:hAnsi="Times New Roman"/>
                <w:sz w:val="25"/>
                <w:szCs w:val="25"/>
              </w:rPr>
            </w:pPr>
            <w:r w:rsidRPr="004A355C">
              <w:rPr>
                <w:rFonts w:ascii="Times New Roman" w:hAnsi="Times New Roman"/>
                <w:sz w:val="25"/>
                <w:szCs w:val="25"/>
              </w:rPr>
              <w:t xml:space="preserve">V/v </w:t>
            </w:r>
            <w:r w:rsidR="005B22A8" w:rsidRPr="004A355C">
              <w:rPr>
                <w:rFonts w:ascii="Times New Roman" w:hAnsi="Times New Roman"/>
                <w:sz w:val="25"/>
                <w:szCs w:val="25"/>
              </w:rPr>
              <w:t>tiếp thu ý kiến đối với dự thảo Nghị định sửa đổi, bổ sung một số điều của các Nghị định trong lĩnh vực giao thông đường thủy nội địa, đường sắt.</w:t>
            </w:r>
          </w:p>
        </w:tc>
        <w:tc>
          <w:tcPr>
            <w:tcW w:w="5381" w:type="dxa"/>
          </w:tcPr>
          <w:p w14:paraId="3247B62D" w14:textId="50E1E9B8" w:rsidR="00E86852" w:rsidRPr="00376227" w:rsidRDefault="00E86852" w:rsidP="009761C0">
            <w:pPr>
              <w:jc w:val="center"/>
              <w:rPr>
                <w:rFonts w:ascii="Times New Roman" w:hAnsi="Times New Roman"/>
                <w:i/>
              </w:rPr>
            </w:pPr>
            <w:r w:rsidRPr="00376227">
              <w:rPr>
                <w:rFonts w:ascii="Times New Roman" w:hAnsi="Times New Roman"/>
                <w:i/>
              </w:rPr>
              <w:t xml:space="preserve">Hà Nội, ngày          tháng </w:t>
            </w:r>
            <w:r w:rsidR="005B22A8" w:rsidRPr="00376227">
              <w:rPr>
                <w:rFonts w:ascii="Times New Roman" w:hAnsi="Times New Roman"/>
                <w:i/>
              </w:rPr>
              <w:t xml:space="preserve"> </w:t>
            </w:r>
            <w:r w:rsidRPr="00376227">
              <w:rPr>
                <w:rFonts w:ascii="Times New Roman" w:hAnsi="Times New Roman"/>
                <w:i/>
              </w:rPr>
              <w:t>6  năm 2025</w:t>
            </w:r>
          </w:p>
        </w:tc>
      </w:tr>
    </w:tbl>
    <w:p w14:paraId="182CE20C" w14:textId="77777777" w:rsidR="000C2A20" w:rsidRDefault="000C2A20" w:rsidP="009761C0">
      <w:pPr>
        <w:jc w:val="both"/>
        <w:rPr>
          <w:rFonts w:ascii="Times New Roman" w:hAnsi="Times New Roman"/>
          <w:sz w:val="24"/>
          <w:szCs w:val="24"/>
        </w:rPr>
      </w:pPr>
    </w:p>
    <w:p w14:paraId="3755D46A" w14:textId="77777777" w:rsidR="004A355C" w:rsidRPr="00376227" w:rsidRDefault="004A355C" w:rsidP="009761C0">
      <w:pPr>
        <w:jc w:val="both"/>
        <w:rPr>
          <w:rFonts w:ascii="Times New Roman" w:hAnsi="Times New Roman"/>
          <w:sz w:val="24"/>
          <w:szCs w:val="24"/>
        </w:rPr>
      </w:pPr>
    </w:p>
    <w:p w14:paraId="57613122" w14:textId="35F4585A" w:rsidR="0070703E" w:rsidRPr="00376227" w:rsidRDefault="0070703E" w:rsidP="009761C0">
      <w:pPr>
        <w:jc w:val="center"/>
        <w:rPr>
          <w:rFonts w:ascii="Times New Roman" w:hAnsi="Times New Roman"/>
        </w:rPr>
      </w:pPr>
      <w:r w:rsidRPr="00376227">
        <w:rPr>
          <w:rFonts w:ascii="Times New Roman" w:hAnsi="Times New Roman"/>
        </w:rPr>
        <w:t>Kính gửi: Bộ Xây dựng</w:t>
      </w:r>
    </w:p>
    <w:p w14:paraId="72C2B45B" w14:textId="77777777" w:rsidR="004A355C" w:rsidRPr="00376227" w:rsidRDefault="004A355C" w:rsidP="009761C0">
      <w:pPr>
        <w:jc w:val="both"/>
        <w:rPr>
          <w:rFonts w:ascii="Times New Roman" w:hAnsi="Times New Roman"/>
        </w:rPr>
      </w:pPr>
    </w:p>
    <w:p w14:paraId="2C92CAF7" w14:textId="77777777" w:rsidR="00EF38E5" w:rsidRDefault="000661F2" w:rsidP="00EF38E5">
      <w:pPr>
        <w:spacing w:before="120" w:after="120" w:line="288" w:lineRule="auto"/>
        <w:ind w:firstLine="720"/>
        <w:jc w:val="both"/>
        <w:rPr>
          <w:rFonts w:ascii="Times New Roman" w:hAnsi="Times New Roman"/>
        </w:rPr>
      </w:pPr>
      <w:r w:rsidRPr="00C0215C">
        <w:rPr>
          <w:rFonts w:ascii="Times New Roman" w:hAnsi="Times New Roman"/>
        </w:rPr>
        <w:t>Cục Hàng hải và Đường thủy Việt Nam nhận được</w:t>
      </w:r>
      <w:r w:rsidR="004A355C" w:rsidRPr="00C0215C">
        <w:rPr>
          <w:rFonts w:ascii="Times New Roman" w:hAnsi="Times New Roman"/>
        </w:rPr>
        <w:t xml:space="preserve"> các Công văn</w:t>
      </w:r>
      <w:r w:rsidR="0070703E" w:rsidRPr="00C0215C">
        <w:rPr>
          <w:rFonts w:ascii="Times New Roman" w:hAnsi="Times New Roman"/>
        </w:rPr>
        <w:t xml:space="preserve"> số 604/TTCNTT-CĐS ngày 11/6/2025</w:t>
      </w:r>
      <w:r w:rsidR="004A355C" w:rsidRPr="00C0215C">
        <w:rPr>
          <w:rFonts w:ascii="Times New Roman" w:hAnsi="Times New Roman"/>
        </w:rPr>
        <w:t xml:space="preserve"> và 623/TTCNTT-CĐS ngày 16/6/2025</w:t>
      </w:r>
      <w:r w:rsidR="0070703E" w:rsidRPr="00C0215C">
        <w:rPr>
          <w:rFonts w:ascii="Times New Roman" w:hAnsi="Times New Roman"/>
        </w:rPr>
        <w:t xml:space="preserve"> của Bộ Xây dựng về việc tiếp thu ý kiến đối với dự thảo Nghị định sửa đổi, bổ sung một số điều của các Nghị định trong lĩnh vực giao thông</w:t>
      </w:r>
      <w:r w:rsidR="009761C0" w:rsidRPr="00C0215C">
        <w:rPr>
          <w:rFonts w:ascii="Times New Roman" w:hAnsi="Times New Roman"/>
        </w:rPr>
        <w:t xml:space="preserve"> đường thủy nội địa, đường sắt, Cục Hàng hải và Đường thủy Việt Nam </w:t>
      </w:r>
      <w:r w:rsidR="00376227" w:rsidRPr="00C0215C">
        <w:rPr>
          <w:rFonts w:ascii="Times New Roman" w:hAnsi="Times New Roman"/>
        </w:rPr>
        <w:t xml:space="preserve">đã </w:t>
      </w:r>
      <w:r w:rsidR="009761C0" w:rsidRPr="00C0215C">
        <w:rPr>
          <w:rFonts w:ascii="Times New Roman" w:hAnsi="Times New Roman"/>
        </w:rPr>
        <w:t>tổ chức nghiên cứu, tiếp thu, giải trình các ý kiến và chỉnh lý, hoàn thiện dự thảo Nghị định sửa đổi, bổ sung một số điều của các Ng</w:t>
      </w:r>
      <w:r w:rsidR="003E262B" w:rsidRPr="00C0215C">
        <w:rPr>
          <w:rFonts w:ascii="Times New Roman" w:hAnsi="Times New Roman"/>
        </w:rPr>
        <w:t>hị định trong lĩnh vực hàng hải, trong đó có một số vấn đề sửa đổi đáng chú ý như sau:</w:t>
      </w:r>
    </w:p>
    <w:p w14:paraId="33263F56" w14:textId="77777777"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rPr>
        <w:t>- Đối với nội dung ý kiến về sửa đổi thẩm quyền xử phạt vi phạm hành chính tại Nghị định số 139/2021/NĐ-CP của Chính phủ: Cục Hàng hải và Đường thủy Việt Nam đề xuất tạm thời chưa sửa nội dung này vì hiện nay,</w:t>
      </w:r>
      <w:r w:rsidRPr="00C0215C">
        <w:rPr>
          <w:rFonts w:ascii="Times New Roman" w:hAnsi="Times New Roman"/>
          <w:color w:val="000000" w:themeColor="text1"/>
        </w:rPr>
        <w:t xml:space="preserve"> Bộ Tư pháp đang tham mưu Chính phủ xây dựng, trình Quốc hội dự án Luật sửa đổi, bổ sung một số điều của Luật Xử lý vi phạm hành chính và trình Chính phủ và 02 dự thảo Nghị định về xử lý vi phạm hành chính:</w:t>
      </w:r>
    </w:p>
    <w:p w14:paraId="75116F3C" w14:textId="77777777"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color w:val="000000" w:themeColor="text1"/>
        </w:rPr>
        <w:t xml:space="preserve">+ Dự thảo Nghị định sửa đổi, bổ sung một số điều của Nghị định số 118/2021/NĐ-CP ngày 23/12/2021 của Chính phủ quy định chi tiết một số điều và biện pháp thi hành Luật Xử lý vi phạm hành chính (được sửa đổi, bổ sung bởi Nghị định số 68/2025/NĐ-CP), trong đó, sửa đổi, bổ sung quy định chi tiết về xử phạt vi phạm hành chính trên môi trường điện tử. </w:t>
      </w:r>
    </w:p>
    <w:p w14:paraId="3E0B7D32" w14:textId="77777777"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color w:val="000000" w:themeColor="text1"/>
        </w:rPr>
        <w:t>+ Dự thảo Nghị định quy định chi tiết Luật Xử lý vi phạm hành chính về thẩm quyền xử phạt vi phạm hành chính, trong đó, sửa đổi, bổ sung quy định chi tiết về thẩm quyền xử phạt vi phạm hành chính của các chức danh.</w:t>
      </w:r>
    </w:p>
    <w:p w14:paraId="593EFB3F" w14:textId="77777777"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color w:val="000000" w:themeColor="text1"/>
        </w:rPr>
        <w:t xml:space="preserve">Theo Kế hoạch đang được Bộ Tư pháp xây dựng, khi Luật sửa đổi, bổ sung một số điều của Luật Xử lý vi phạm hành chính được ban hành, tất cả các Nghị định về xử phạt vi phạm hành chính trong các lĩnh vực quản lý nhà nước, trong đó có Nghị định số 139/2021/NĐ-CP phải được sửa đổi, bổ sung để bảo đảm phù hợp với quy định của Luật. Do vậy, cơ quan chủ trì soạn thảo cần bám sát nội </w:t>
      </w:r>
      <w:r w:rsidRPr="00C0215C">
        <w:rPr>
          <w:rFonts w:ascii="Times New Roman" w:hAnsi="Times New Roman"/>
          <w:color w:val="000000" w:themeColor="text1"/>
        </w:rPr>
        <w:lastRenderedPageBreak/>
        <w:t>dung và tiến độ xây dựng, ban hành của những văn bản trên để sửa đổi, bổ sung Nghị định số 139/2021/NĐ-CP, đồng thời, rà soát, chỉnh lý các quy định tại dự thảo Nghị định, bảo đảm phù hợp với quy định của Luật Xử lý vi phạm hành chính và sự thống nhất, đồng bộ với các văn bản quy định chi tiết Luật sau khi các văn bản này được ban hành.</w:t>
      </w:r>
    </w:p>
    <w:p w14:paraId="4CD7AAD9" w14:textId="76011F7F"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color w:val="000000" w:themeColor="text1"/>
        </w:rPr>
        <w:t>- Đối với nội dung trùng lặp giữa điểm a khoản 1 Điều 21 và điểm c khoản 2 Điều 32 Nghị định số 139/2021/NĐ-CP của Chính phủ, Cục Hàng hải và Đường thủy Việt Nam đề xuất bãi bỏ điểm c khoản 2 Điều 32 để áp dụng mức phạt có lợi</w:t>
      </w:r>
      <w:r w:rsidR="007D4019" w:rsidRPr="00C0215C">
        <w:rPr>
          <w:rFonts w:ascii="Times New Roman" w:hAnsi="Times New Roman"/>
          <w:color w:val="000000" w:themeColor="text1"/>
        </w:rPr>
        <w:t xml:space="preserve"> hơn cho người vi phạm và không bỏ sót hành vi</w:t>
      </w:r>
      <w:r w:rsidR="008A2BAD">
        <w:rPr>
          <w:rFonts w:ascii="Times New Roman" w:hAnsi="Times New Roman"/>
          <w:color w:val="000000" w:themeColor="text1"/>
        </w:rPr>
        <w:t xml:space="preserve"> vi</w:t>
      </w:r>
      <w:bookmarkStart w:id="0" w:name="_GoBack"/>
      <w:bookmarkEnd w:id="0"/>
      <w:r w:rsidR="007D4019" w:rsidRPr="00C0215C">
        <w:rPr>
          <w:rFonts w:ascii="Times New Roman" w:hAnsi="Times New Roman"/>
          <w:color w:val="000000" w:themeColor="text1"/>
        </w:rPr>
        <w:t xml:space="preserve"> phạm của thuyền viên đối với hành vi không hướng dẫn hành khách sử dụng các thiết bị chữa cháy, dụng cụ cứu sinh, cứu đắm và thoát hiểm tại khoản 1 Điều 21.</w:t>
      </w:r>
    </w:p>
    <w:p w14:paraId="7DCCD77B" w14:textId="4FD8818E" w:rsidR="00EF38E5" w:rsidRDefault="003E262B" w:rsidP="00EF38E5">
      <w:pPr>
        <w:spacing w:before="120" w:after="120" w:line="288" w:lineRule="auto"/>
        <w:ind w:firstLine="720"/>
        <w:jc w:val="both"/>
        <w:rPr>
          <w:rFonts w:ascii="Times New Roman" w:hAnsi="Times New Roman"/>
        </w:rPr>
      </w:pPr>
      <w:r w:rsidRPr="00C0215C">
        <w:rPr>
          <w:rFonts w:ascii="Times New Roman" w:hAnsi="Times New Roman"/>
        </w:rPr>
        <w:t xml:space="preserve">- </w:t>
      </w:r>
      <w:r w:rsidR="008A2BAD">
        <w:rPr>
          <w:rFonts w:ascii="Times New Roman" w:hAnsi="Times New Roman"/>
          <w:color w:val="000000" w:themeColor="text1"/>
        </w:rPr>
        <w:t>Bỏ nộ</w:t>
      </w:r>
      <w:r w:rsidRPr="00C0215C">
        <w:rPr>
          <w:rFonts w:ascii="Times New Roman" w:hAnsi="Times New Roman"/>
          <w:color w:val="000000" w:themeColor="text1"/>
        </w:rPr>
        <w:t>i dung “Điều khoản chuyển tiếp”</w:t>
      </w:r>
      <w:r w:rsidR="00C0215C">
        <w:rPr>
          <w:rFonts w:ascii="Times New Roman" w:hAnsi="Times New Roman"/>
          <w:color w:val="000000" w:themeColor="text1"/>
        </w:rPr>
        <w:t xml:space="preserve"> tại dự thảo Nghị định</w:t>
      </w:r>
      <w:r w:rsidRPr="00C0215C">
        <w:rPr>
          <w:rFonts w:ascii="Times New Roman" w:hAnsi="Times New Roman"/>
          <w:color w:val="000000" w:themeColor="text1"/>
        </w:rPr>
        <w:t xml:space="preserve"> vì các nội dung, vấn đề liên quan đến sắp xếp tổ chức bộ máy nhà nước đã được nêu và xử lý tại Nghị quyết số 190/2025/QH15.</w:t>
      </w:r>
    </w:p>
    <w:p w14:paraId="0B938FDE" w14:textId="51B709D5" w:rsidR="00EF38E5" w:rsidRDefault="007D4019" w:rsidP="00EF38E5">
      <w:pPr>
        <w:spacing w:before="120" w:after="120" w:line="288" w:lineRule="auto"/>
        <w:ind w:firstLine="720"/>
        <w:jc w:val="both"/>
        <w:rPr>
          <w:rFonts w:ascii="Times New Roman" w:hAnsi="Times New Roman"/>
        </w:rPr>
      </w:pPr>
      <w:r w:rsidRPr="00C0215C">
        <w:rPr>
          <w:rFonts w:ascii="Times New Roman" w:hAnsi="Times New Roman"/>
          <w:color w:val="000000" w:themeColor="text1"/>
        </w:rPr>
        <w:t xml:space="preserve">- Sửa đổi Mẫu số 03/ĐGTĐ-QĐCT/SĐBS đánh giá tác động của </w:t>
      </w:r>
      <w:r w:rsidR="008A2BAD">
        <w:rPr>
          <w:rFonts w:ascii="Times New Roman" w:hAnsi="Times New Roman"/>
          <w:color w:val="000000" w:themeColor="text1"/>
        </w:rPr>
        <w:t>thủ tục hành chính</w:t>
      </w:r>
      <w:r w:rsidRPr="00C0215C">
        <w:rPr>
          <w:rFonts w:ascii="Times New Roman" w:hAnsi="Times New Roman"/>
          <w:color w:val="000000" w:themeColor="text1"/>
        </w:rPr>
        <w:t xml:space="preserve"> sửa đổi, bổ sung trong dự thảo Nghị định theo hướng: chỉ đánh giá đối với bộ phận thủ tục hành chính được quy định chi tiết hoặc được sửa đổi, bổ sung; trường hợp bộ phận thủ tục hành chính không được quy định chi tiết hoặc không sửa đổi, bổ sung thì không đánh giá và xóa khỏi Biểu mẫu.</w:t>
      </w:r>
    </w:p>
    <w:p w14:paraId="57827C34" w14:textId="77777777" w:rsidR="00EF38E5" w:rsidRDefault="0070703E" w:rsidP="00EF38E5">
      <w:pPr>
        <w:spacing w:before="120" w:after="120" w:line="288" w:lineRule="auto"/>
        <w:ind w:firstLine="720"/>
        <w:jc w:val="both"/>
        <w:rPr>
          <w:rFonts w:ascii="Times New Roman" w:hAnsi="Times New Roman"/>
          <w:i/>
        </w:rPr>
      </w:pPr>
      <w:r w:rsidRPr="00C0215C">
        <w:rPr>
          <w:rFonts w:ascii="Times New Roman" w:hAnsi="Times New Roman"/>
          <w:i/>
        </w:rPr>
        <w:t xml:space="preserve">Hồ sơ kèm theo bao gồm: </w:t>
      </w:r>
    </w:p>
    <w:p w14:paraId="0BB7EEE7" w14:textId="77777777" w:rsidR="00EF38E5" w:rsidRDefault="006A18EE" w:rsidP="00EF38E5">
      <w:pPr>
        <w:spacing w:before="120" w:after="120" w:line="288" w:lineRule="auto"/>
        <w:ind w:firstLine="720"/>
        <w:jc w:val="both"/>
        <w:rPr>
          <w:rFonts w:ascii="Times New Roman" w:hAnsi="Times New Roman"/>
        </w:rPr>
      </w:pPr>
      <w:r w:rsidRPr="00C0215C">
        <w:rPr>
          <w:rFonts w:ascii="Times New Roman" w:hAnsi="Times New Roman"/>
          <w:i/>
        </w:rPr>
        <w:t>- Dự thảo Nghị định;</w:t>
      </w:r>
      <w:r w:rsidR="00C0215C">
        <w:rPr>
          <w:rFonts w:ascii="Times New Roman" w:hAnsi="Times New Roman"/>
          <w:i/>
        </w:rPr>
        <w:tab/>
      </w:r>
    </w:p>
    <w:p w14:paraId="78710811" w14:textId="77777777" w:rsidR="00EF38E5" w:rsidRDefault="0070703E" w:rsidP="00EF38E5">
      <w:pPr>
        <w:spacing w:before="120" w:after="120" w:line="288" w:lineRule="auto"/>
        <w:ind w:firstLine="720"/>
        <w:jc w:val="both"/>
        <w:rPr>
          <w:rFonts w:ascii="Times New Roman" w:hAnsi="Times New Roman"/>
        </w:rPr>
      </w:pPr>
      <w:r w:rsidRPr="00C0215C">
        <w:rPr>
          <w:rFonts w:ascii="Times New Roman" w:hAnsi="Times New Roman"/>
          <w:i/>
        </w:rPr>
        <w:t xml:space="preserve">- Bảng tổng hợp, giải trình, tiếp thu góp ý; </w:t>
      </w:r>
    </w:p>
    <w:p w14:paraId="7777504F" w14:textId="77777777" w:rsidR="00EF38E5" w:rsidRDefault="0070703E" w:rsidP="00EF38E5">
      <w:pPr>
        <w:spacing w:before="120" w:after="120" w:line="288" w:lineRule="auto"/>
        <w:ind w:firstLine="720"/>
        <w:jc w:val="both"/>
        <w:rPr>
          <w:rFonts w:ascii="Times New Roman" w:hAnsi="Times New Roman"/>
        </w:rPr>
      </w:pPr>
      <w:r w:rsidRPr="00C0215C">
        <w:rPr>
          <w:rFonts w:ascii="Times New Roman" w:hAnsi="Times New Roman"/>
          <w:i/>
        </w:rPr>
        <w:t>-</w:t>
      </w:r>
      <w:r w:rsidR="00651537" w:rsidRPr="00C0215C">
        <w:rPr>
          <w:rFonts w:ascii="Times New Roman" w:hAnsi="Times New Roman"/>
          <w:i/>
        </w:rPr>
        <w:t xml:space="preserve"> Bảng so sánh Dự thảo </w:t>
      </w:r>
      <w:r w:rsidR="000661F2" w:rsidRPr="00C0215C">
        <w:rPr>
          <w:rFonts w:ascii="Times New Roman" w:hAnsi="Times New Roman"/>
          <w:i/>
        </w:rPr>
        <w:t>Nghị định</w:t>
      </w:r>
      <w:r w:rsidR="00651537" w:rsidRPr="00C0215C">
        <w:rPr>
          <w:rFonts w:ascii="Times New Roman" w:hAnsi="Times New Roman"/>
          <w:i/>
        </w:rPr>
        <w:t>;</w:t>
      </w:r>
    </w:p>
    <w:p w14:paraId="0E145C6C" w14:textId="126D5F1F" w:rsidR="00EF38E5" w:rsidRPr="00EF38E5" w:rsidRDefault="0070703E" w:rsidP="00EF38E5">
      <w:pPr>
        <w:spacing w:before="120" w:after="120" w:line="288" w:lineRule="auto"/>
        <w:ind w:firstLine="720"/>
        <w:jc w:val="both"/>
        <w:rPr>
          <w:rFonts w:ascii="Times New Roman" w:hAnsi="Times New Roman"/>
        </w:rPr>
      </w:pPr>
      <w:r w:rsidRPr="00C0215C">
        <w:rPr>
          <w:rFonts w:ascii="Times New Roman" w:hAnsi="Times New Roman"/>
          <w:i/>
        </w:rPr>
        <w:t>- Báo cáo đánh giá tác động</w:t>
      </w:r>
      <w:r w:rsidR="007D4019" w:rsidRPr="00C0215C">
        <w:rPr>
          <w:rFonts w:ascii="Times New Roman" w:hAnsi="Times New Roman"/>
          <w:i/>
        </w:rPr>
        <w:t xml:space="preserve"> thủ tục hành chính</w:t>
      </w:r>
      <w:r w:rsidR="00EF38E5">
        <w:rPr>
          <w:rFonts w:ascii="Times New Roman" w:hAnsi="Times New Roman"/>
          <w:i/>
        </w:rPr>
        <w:t>.</w:t>
      </w:r>
    </w:p>
    <w:p w14:paraId="752D4D09" w14:textId="3E2A4857" w:rsidR="0070703E" w:rsidRPr="00EF38E5" w:rsidRDefault="0070703E" w:rsidP="00EF38E5">
      <w:pPr>
        <w:tabs>
          <w:tab w:val="left" w:pos="4119"/>
        </w:tabs>
        <w:spacing w:line="312" w:lineRule="auto"/>
        <w:ind w:firstLine="720"/>
        <w:jc w:val="both"/>
        <w:rPr>
          <w:rFonts w:ascii="Times New Roman" w:hAnsi="Times New Roman"/>
          <w:i/>
        </w:rPr>
      </w:pPr>
      <w:r w:rsidRPr="00C0215C">
        <w:rPr>
          <w:rFonts w:ascii="Times New Roman" w:hAnsi="Times New Roman"/>
        </w:rPr>
        <w:t>Cục Hàng hải và Đường thủy Việt Nam kính báo cáo./.</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3"/>
        <w:gridCol w:w="4539"/>
      </w:tblGrid>
      <w:tr w:rsidR="0070703E" w:rsidRPr="00376227" w14:paraId="0199671E" w14:textId="77777777" w:rsidTr="00EF38E5">
        <w:trPr>
          <w:jc w:val="center"/>
        </w:trPr>
        <w:tc>
          <w:tcPr>
            <w:tcW w:w="4523" w:type="dxa"/>
          </w:tcPr>
          <w:p w14:paraId="4F714B97" w14:textId="392C986F" w:rsidR="0070703E" w:rsidRPr="00376227" w:rsidRDefault="0070703E" w:rsidP="009761C0">
            <w:pPr>
              <w:jc w:val="both"/>
              <w:rPr>
                <w:rFonts w:ascii="Times New Roman" w:hAnsi="Times New Roman"/>
                <w:b/>
                <w:i/>
                <w:sz w:val="24"/>
                <w:szCs w:val="24"/>
              </w:rPr>
            </w:pPr>
            <w:r w:rsidRPr="00376227">
              <w:rPr>
                <w:rFonts w:ascii="Times New Roman" w:hAnsi="Times New Roman"/>
                <w:b/>
                <w:i/>
                <w:sz w:val="24"/>
                <w:szCs w:val="24"/>
              </w:rPr>
              <w:t>Nơi nhận:</w:t>
            </w:r>
          </w:p>
          <w:p w14:paraId="655E8A4E" w14:textId="77777777" w:rsidR="0070703E" w:rsidRDefault="0070703E" w:rsidP="009761C0">
            <w:pPr>
              <w:jc w:val="both"/>
              <w:rPr>
                <w:rFonts w:ascii="Times New Roman" w:hAnsi="Times New Roman"/>
                <w:sz w:val="22"/>
                <w:szCs w:val="22"/>
              </w:rPr>
            </w:pPr>
            <w:r w:rsidRPr="00376227">
              <w:rPr>
                <w:rFonts w:ascii="Times New Roman" w:hAnsi="Times New Roman"/>
                <w:sz w:val="22"/>
                <w:szCs w:val="22"/>
              </w:rPr>
              <w:t>- Như trên;</w:t>
            </w:r>
          </w:p>
          <w:p w14:paraId="345EF60A" w14:textId="2116A5B8" w:rsidR="00054F7A" w:rsidRDefault="00054F7A" w:rsidP="009761C0">
            <w:pPr>
              <w:jc w:val="both"/>
              <w:rPr>
                <w:rFonts w:ascii="Times New Roman" w:hAnsi="Times New Roman"/>
                <w:sz w:val="22"/>
                <w:szCs w:val="22"/>
              </w:rPr>
            </w:pPr>
            <w:r>
              <w:rPr>
                <w:rFonts w:ascii="Times New Roman" w:hAnsi="Times New Roman"/>
                <w:sz w:val="22"/>
                <w:szCs w:val="22"/>
              </w:rPr>
              <w:t>- Cục trưởng (để b/c);</w:t>
            </w:r>
          </w:p>
          <w:p w14:paraId="42CB44AE" w14:textId="13924A25" w:rsidR="00C0215C" w:rsidRDefault="00C0215C" w:rsidP="009761C0">
            <w:pPr>
              <w:jc w:val="both"/>
              <w:rPr>
                <w:rFonts w:ascii="Times New Roman" w:hAnsi="Times New Roman"/>
                <w:sz w:val="22"/>
                <w:szCs w:val="22"/>
              </w:rPr>
            </w:pPr>
            <w:r>
              <w:rPr>
                <w:rFonts w:ascii="Times New Roman" w:hAnsi="Times New Roman"/>
                <w:sz w:val="22"/>
                <w:szCs w:val="22"/>
              </w:rPr>
              <w:t>- Cục ĐSVN (để p/h)</w:t>
            </w:r>
            <w:r w:rsidR="00944E9E">
              <w:rPr>
                <w:rFonts w:ascii="Times New Roman" w:hAnsi="Times New Roman"/>
                <w:sz w:val="22"/>
                <w:szCs w:val="22"/>
              </w:rPr>
              <w:t>;</w:t>
            </w:r>
          </w:p>
          <w:p w14:paraId="6E331800" w14:textId="0C1F0FEF" w:rsidR="00944E9E" w:rsidRPr="00376227" w:rsidRDefault="00944E9E" w:rsidP="009761C0">
            <w:pPr>
              <w:jc w:val="both"/>
              <w:rPr>
                <w:rFonts w:ascii="Times New Roman" w:hAnsi="Times New Roman"/>
                <w:sz w:val="22"/>
                <w:szCs w:val="22"/>
              </w:rPr>
            </w:pPr>
            <w:r>
              <w:rPr>
                <w:rFonts w:ascii="Times New Roman" w:hAnsi="Times New Roman"/>
                <w:sz w:val="22"/>
                <w:szCs w:val="22"/>
              </w:rPr>
              <w:t>- Các phòng: TCCB; Thanh tra;</w:t>
            </w:r>
          </w:p>
          <w:p w14:paraId="035E7438" w14:textId="3190F243" w:rsidR="0070703E" w:rsidRPr="00376227" w:rsidRDefault="003C41B8" w:rsidP="009761C0">
            <w:pPr>
              <w:jc w:val="both"/>
              <w:rPr>
                <w:rFonts w:ascii="Times New Roman" w:hAnsi="Times New Roman"/>
                <w:b/>
                <w:sz w:val="24"/>
                <w:szCs w:val="24"/>
              </w:rPr>
            </w:pPr>
            <w:r w:rsidRPr="00376227">
              <w:rPr>
                <w:rFonts w:ascii="Times New Roman" w:hAnsi="Times New Roman"/>
                <w:sz w:val="22"/>
                <w:szCs w:val="22"/>
              </w:rPr>
              <w:t>- Lưu: VT, PC</w:t>
            </w:r>
            <w:r w:rsidRPr="00376227">
              <w:rPr>
                <w:rFonts w:ascii="Times New Roman" w:hAnsi="Times New Roman"/>
                <w:sz w:val="22"/>
                <w:szCs w:val="22"/>
                <w:vertAlign w:val="subscript"/>
              </w:rPr>
              <w:t>(N.Anh)</w:t>
            </w:r>
            <w:r w:rsidRPr="00376227">
              <w:rPr>
                <w:rFonts w:ascii="Times New Roman" w:hAnsi="Times New Roman"/>
                <w:sz w:val="22"/>
                <w:szCs w:val="22"/>
              </w:rPr>
              <w:t>.</w:t>
            </w:r>
          </w:p>
        </w:tc>
        <w:tc>
          <w:tcPr>
            <w:tcW w:w="4539" w:type="dxa"/>
          </w:tcPr>
          <w:p w14:paraId="0E3BA7C1" w14:textId="411BB1EF" w:rsidR="0070703E" w:rsidRDefault="00054F7A" w:rsidP="009761C0">
            <w:pPr>
              <w:jc w:val="center"/>
              <w:rPr>
                <w:rFonts w:ascii="Times New Roman" w:hAnsi="Times New Roman"/>
                <w:b/>
                <w:sz w:val="26"/>
                <w:szCs w:val="26"/>
              </w:rPr>
            </w:pPr>
            <w:r>
              <w:rPr>
                <w:rFonts w:ascii="Times New Roman" w:hAnsi="Times New Roman"/>
                <w:b/>
                <w:sz w:val="26"/>
                <w:szCs w:val="26"/>
              </w:rPr>
              <w:t xml:space="preserve">KT. </w:t>
            </w:r>
            <w:r w:rsidR="0070703E" w:rsidRPr="00376227">
              <w:rPr>
                <w:rFonts w:ascii="Times New Roman" w:hAnsi="Times New Roman"/>
                <w:b/>
                <w:sz w:val="26"/>
                <w:szCs w:val="26"/>
              </w:rPr>
              <w:t>CỤC TRƯỞNG</w:t>
            </w:r>
          </w:p>
          <w:p w14:paraId="5E860081" w14:textId="55CE372B" w:rsidR="00054F7A" w:rsidRPr="00376227" w:rsidRDefault="00054F7A" w:rsidP="009761C0">
            <w:pPr>
              <w:jc w:val="center"/>
              <w:rPr>
                <w:rFonts w:ascii="Times New Roman" w:hAnsi="Times New Roman"/>
                <w:b/>
                <w:sz w:val="26"/>
                <w:szCs w:val="26"/>
              </w:rPr>
            </w:pPr>
            <w:r>
              <w:rPr>
                <w:rFonts w:ascii="Times New Roman" w:hAnsi="Times New Roman"/>
                <w:b/>
                <w:sz w:val="26"/>
                <w:szCs w:val="26"/>
              </w:rPr>
              <w:t>PHÓ CỤC TRƯỞNG</w:t>
            </w:r>
          </w:p>
          <w:p w14:paraId="788442F0" w14:textId="77777777" w:rsidR="0070703E" w:rsidRPr="00376227" w:rsidRDefault="0070703E" w:rsidP="009761C0">
            <w:pPr>
              <w:jc w:val="center"/>
              <w:rPr>
                <w:rFonts w:ascii="Times New Roman" w:hAnsi="Times New Roman"/>
                <w:b/>
                <w:sz w:val="26"/>
                <w:szCs w:val="26"/>
              </w:rPr>
            </w:pPr>
          </w:p>
          <w:p w14:paraId="7D12196A" w14:textId="77777777" w:rsidR="0070703E" w:rsidRDefault="0070703E" w:rsidP="009761C0">
            <w:pPr>
              <w:jc w:val="center"/>
              <w:rPr>
                <w:rFonts w:ascii="Times New Roman" w:hAnsi="Times New Roman"/>
                <w:b/>
                <w:sz w:val="26"/>
                <w:szCs w:val="26"/>
              </w:rPr>
            </w:pPr>
          </w:p>
          <w:p w14:paraId="11D7E4AA" w14:textId="77777777" w:rsidR="006A18EE" w:rsidRPr="00376227" w:rsidRDefault="006A18EE" w:rsidP="009761C0">
            <w:pPr>
              <w:jc w:val="center"/>
              <w:rPr>
                <w:rFonts w:ascii="Times New Roman" w:hAnsi="Times New Roman"/>
                <w:b/>
                <w:sz w:val="26"/>
                <w:szCs w:val="26"/>
              </w:rPr>
            </w:pPr>
          </w:p>
          <w:p w14:paraId="76D6BC19" w14:textId="77777777" w:rsidR="0070703E" w:rsidRDefault="0070703E" w:rsidP="009761C0">
            <w:pPr>
              <w:jc w:val="center"/>
              <w:rPr>
                <w:rFonts w:ascii="Times New Roman" w:hAnsi="Times New Roman"/>
                <w:b/>
                <w:sz w:val="26"/>
                <w:szCs w:val="26"/>
              </w:rPr>
            </w:pPr>
          </w:p>
          <w:p w14:paraId="1C389C27" w14:textId="77777777" w:rsidR="00C0215C" w:rsidRPr="00376227" w:rsidRDefault="00C0215C" w:rsidP="009761C0">
            <w:pPr>
              <w:jc w:val="center"/>
              <w:rPr>
                <w:rFonts w:ascii="Times New Roman" w:hAnsi="Times New Roman"/>
                <w:b/>
                <w:sz w:val="26"/>
                <w:szCs w:val="26"/>
              </w:rPr>
            </w:pPr>
          </w:p>
          <w:p w14:paraId="3A6604E6" w14:textId="77777777" w:rsidR="0070703E" w:rsidRPr="00376227" w:rsidRDefault="0070703E" w:rsidP="009761C0">
            <w:pPr>
              <w:jc w:val="center"/>
              <w:rPr>
                <w:rFonts w:ascii="Times New Roman" w:hAnsi="Times New Roman"/>
                <w:b/>
                <w:sz w:val="26"/>
                <w:szCs w:val="26"/>
              </w:rPr>
            </w:pPr>
          </w:p>
          <w:p w14:paraId="599D4629" w14:textId="45C19C93" w:rsidR="0070703E" w:rsidRPr="00376227" w:rsidRDefault="0070703E" w:rsidP="00054F7A">
            <w:pPr>
              <w:jc w:val="center"/>
              <w:rPr>
                <w:rFonts w:ascii="Times New Roman" w:hAnsi="Times New Roman"/>
                <w:b/>
                <w:sz w:val="24"/>
                <w:szCs w:val="24"/>
              </w:rPr>
            </w:pPr>
            <w:r w:rsidRPr="00376227">
              <w:rPr>
                <w:rFonts w:ascii="Times New Roman" w:hAnsi="Times New Roman"/>
                <w:b/>
                <w:szCs w:val="26"/>
              </w:rPr>
              <w:t xml:space="preserve">Lê </w:t>
            </w:r>
            <w:r w:rsidR="00054F7A">
              <w:rPr>
                <w:rFonts w:ascii="Times New Roman" w:hAnsi="Times New Roman"/>
                <w:b/>
                <w:szCs w:val="26"/>
              </w:rPr>
              <w:t>Minh Đạo</w:t>
            </w:r>
          </w:p>
        </w:tc>
      </w:tr>
    </w:tbl>
    <w:p w14:paraId="7F1D5570" w14:textId="219F54C8" w:rsidR="0070703E" w:rsidRPr="00376227" w:rsidRDefault="0070703E" w:rsidP="009761C0">
      <w:pPr>
        <w:jc w:val="both"/>
        <w:rPr>
          <w:rFonts w:ascii="Times New Roman" w:hAnsi="Times New Roman"/>
          <w:sz w:val="24"/>
          <w:szCs w:val="24"/>
        </w:rPr>
      </w:pPr>
    </w:p>
    <w:p w14:paraId="45F8B781" w14:textId="7A284790" w:rsidR="006539F1" w:rsidRDefault="00916179" w:rsidP="009761C0">
      <w:pPr>
        <w:jc w:val="both"/>
        <w:rPr>
          <w:rFonts w:ascii="Times New Roman" w:hAnsi="Times New Roman"/>
          <w:sz w:val="24"/>
          <w:szCs w:val="24"/>
        </w:rPr>
      </w:pPr>
      <w:r w:rsidRPr="00376227">
        <w:rPr>
          <w:rFonts w:ascii="Times New Roman" w:hAnsi="Times New Roman"/>
          <w:sz w:val="24"/>
          <w:szCs w:val="24"/>
        </w:rPr>
        <w:tab/>
      </w:r>
    </w:p>
    <w:p w14:paraId="08B1E37D" w14:textId="77777777" w:rsidR="003E262B" w:rsidRDefault="003E262B" w:rsidP="009761C0">
      <w:pPr>
        <w:jc w:val="both"/>
        <w:rPr>
          <w:rFonts w:ascii="Times New Roman" w:hAnsi="Times New Roman"/>
          <w:sz w:val="24"/>
          <w:szCs w:val="24"/>
        </w:rPr>
      </w:pPr>
    </w:p>
    <w:p w14:paraId="25723B28" w14:textId="77777777" w:rsidR="003E262B" w:rsidRPr="00376227" w:rsidRDefault="003E262B" w:rsidP="009761C0">
      <w:pPr>
        <w:jc w:val="both"/>
        <w:rPr>
          <w:rFonts w:ascii="Times New Roman" w:hAnsi="Times New Roman"/>
          <w:sz w:val="24"/>
          <w:szCs w:val="24"/>
        </w:rPr>
        <w:sectPr w:rsidR="003E262B" w:rsidRPr="00376227" w:rsidSect="00C0215C">
          <w:headerReference w:type="default" r:id="rId8"/>
          <w:footerReference w:type="default" r:id="rId9"/>
          <w:headerReference w:type="first" r:id="rId10"/>
          <w:type w:val="continuous"/>
          <w:pgSz w:w="11909" w:h="16834" w:code="9"/>
          <w:pgMar w:top="1138" w:right="1138" w:bottom="1138" w:left="1699" w:header="576" w:footer="576" w:gutter="0"/>
          <w:cols w:space="720"/>
          <w:titlePg/>
          <w:docGrid w:linePitch="381"/>
        </w:sectPr>
      </w:pPr>
    </w:p>
    <w:tbl>
      <w:tblPr>
        <w:tblW w:w="5228" w:type="pct"/>
        <w:tblInd w:w="-130" w:type="dxa"/>
        <w:tblBorders>
          <w:top w:val="nil"/>
          <w:bottom w:val="nil"/>
          <w:insideH w:val="nil"/>
          <w:insideV w:val="nil"/>
        </w:tblBorders>
        <w:tblCellMar>
          <w:left w:w="0" w:type="dxa"/>
          <w:right w:w="0" w:type="dxa"/>
        </w:tblCellMar>
        <w:tblLook w:val="04A0" w:firstRow="1" w:lastRow="0" w:firstColumn="1" w:lastColumn="0" w:noHBand="0" w:noVBand="1"/>
      </w:tblPr>
      <w:tblGrid>
        <w:gridCol w:w="2242"/>
        <w:gridCol w:w="1925"/>
        <w:gridCol w:w="5799"/>
        <w:gridCol w:w="4664"/>
      </w:tblGrid>
      <w:tr w:rsidR="003E262B" w:rsidRPr="00376227" w14:paraId="4B746479" w14:textId="77777777" w:rsidTr="00747997">
        <w:trPr>
          <w:trHeight w:val="20"/>
        </w:trPr>
        <w:tc>
          <w:tcPr>
            <w:tcW w:w="766" w:type="pct"/>
            <w:tcBorders>
              <w:top w:val="nil"/>
              <w:left w:val="nil"/>
              <w:bottom w:val="nil"/>
              <w:right w:val="nil"/>
              <w:tl2br w:val="nil"/>
              <w:tr2bl w:val="nil"/>
            </w:tcBorders>
            <w:shd w:val="clear" w:color="auto" w:fill="auto"/>
            <w:tcMar>
              <w:top w:w="0" w:type="dxa"/>
              <w:left w:w="10" w:type="dxa"/>
              <w:bottom w:w="0" w:type="dxa"/>
              <w:right w:w="10" w:type="dxa"/>
            </w:tcMar>
            <w:vAlign w:val="center"/>
          </w:tcPr>
          <w:p w14:paraId="36B9AF6F" w14:textId="77777777" w:rsidR="003E262B" w:rsidRPr="00376227" w:rsidRDefault="003E262B" w:rsidP="00376227">
            <w:pPr>
              <w:jc w:val="center"/>
              <w:rPr>
                <w:rFonts w:ascii="Times New Roman" w:hAnsi="Times New Roman"/>
                <w:b/>
                <w:sz w:val="22"/>
                <w:szCs w:val="22"/>
              </w:rPr>
            </w:pPr>
          </w:p>
        </w:tc>
        <w:tc>
          <w:tcPr>
            <w:tcW w:w="658" w:type="pct"/>
            <w:tcBorders>
              <w:top w:val="nil"/>
              <w:left w:val="nil"/>
              <w:bottom w:val="nil"/>
              <w:right w:val="nil"/>
              <w:tl2br w:val="nil"/>
              <w:tr2bl w:val="nil"/>
            </w:tcBorders>
            <w:shd w:val="clear" w:color="auto" w:fill="auto"/>
            <w:tcMar>
              <w:top w:w="0" w:type="dxa"/>
              <w:left w:w="10" w:type="dxa"/>
              <w:bottom w:w="0" w:type="dxa"/>
              <w:right w:w="10" w:type="dxa"/>
            </w:tcMar>
            <w:vAlign w:val="center"/>
          </w:tcPr>
          <w:p w14:paraId="0C8C13F6" w14:textId="77777777" w:rsidR="003E262B" w:rsidRPr="00376227" w:rsidRDefault="003E262B" w:rsidP="00376227">
            <w:pPr>
              <w:jc w:val="center"/>
              <w:rPr>
                <w:rFonts w:ascii="Times New Roman" w:hAnsi="Times New Roman"/>
                <w:b/>
                <w:sz w:val="22"/>
                <w:szCs w:val="22"/>
              </w:rPr>
            </w:pPr>
          </w:p>
        </w:tc>
        <w:tc>
          <w:tcPr>
            <w:tcW w:w="1982" w:type="pct"/>
            <w:tcBorders>
              <w:top w:val="nil"/>
              <w:left w:val="nil"/>
              <w:bottom w:val="nil"/>
              <w:right w:val="nil"/>
              <w:tl2br w:val="nil"/>
              <w:tr2bl w:val="nil"/>
            </w:tcBorders>
            <w:shd w:val="clear" w:color="auto" w:fill="auto"/>
            <w:tcMar>
              <w:top w:w="0" w:type="dxa"/>
              <w:left w:w="10" w:type="dxa"/>
              <w:bottom w:w="0" w:type="dxa"/>
              <w:right w:w="10" w:type="dxa"/>
            </w:tcMar>
            <w:vAlign w:val="center"/>
          </w:tcPr>
          <w:p w14:paraId="74E687A6" w14:textId="77777777" w:rsidR="003E262B" w:rsidRPr="00376227" w:rsidRDefault="003E262B" w:rsidP="00376227">
            <w:pPr>
              <w:jc w:val="center"/>
              <w:rPr>
                <w:rFonts w:ascii="Times New Roman" w:hAnsi="Times New Roman"/>
                <w:b/>
                <w:sz w:val="22"/>
                <w:szCs w:val="22"/>
              </w:rPr>
            </w:pPr>
          </w:p>
        </w:tc>
        <w:tc>
          <w:tcPr>
            <w:tcW w:w="1594" w:type="pct"/>
            <w:tcBorders>
              <w:top w:val="nil"/>
              <w:left w:val="nil"/>
              <w:bottom w:val="nil"/>
              <w:right w:val="nil"/>
              <w:tl2br w:val="nil"/>
              <w:tr2bl w:val="nil"/>
            </w:tcBorders>
            <w:shd w:val="clear" w:color="auto" w:fill="auto"/>
            <w:tcMar>
              <w:top w:w="0" w:type="dxa"/>
              <w:left w:w="10" w:type="dxa"/>
              <w:bottom w:w="0" w:type="dxa"/>
              <w:right w:w="10" w:type="dxa"/>
            </w:tcMar>
            <w:vAlign w:val="center"/>
          </w:tcPr>
          <w:p w14:paraId="4AEEEFDA" w14:textId="77777777" w:rsidR="003E262B" w:rsidRPr="00376227" w:rsidRDefault="003E262B" w:rsidP="00376227">
            <w:pPr>
              <w:jc w:val="center"/>
              <w:rPr>
                <w:rFonts w:ascii="Times New Roman" w:hAnsi="Times New Roman"/>
                <w:b/>
                <w:sz w:val="22"/>
                <w:szCs w:val="22"/>
              </w:rPr>
            </w:pPr>
          </w:p>
        </w:tc>
      </w:tr>
      <w:tr w:rsidR="003E262B" w:rsidRPr="00376227" w14:paraId="7917021A" w14:textId="77777777" w:rsidTr="00747997">
        <w:trPr>
          <w:trHeight w:val="20"/>
        </w:trPr>
        <w:tc>
          <w:tcPr>
            <w:tcW w:w="5000" w:type="pct"/>
            <w:gridSpan w:val="4"/>
            <w:tcBorders>
              <w:top w:val="nil"/>
              <w:left w:val="nil"/>
              <w:bottom w:val="nil"/>
              <w:right w:val="nil"/>
              <w:tl2br w:val="nil"/>
              <w:tr2bl w:val="nil"/>
            </w:tcBorders>
            <w:shd w:val="clear" w:color="auto" w:fill="auto"/>
            <w:tcMar>
              <w:top w:w="0" w:type="dxa"/>
              <w:left w:w="10" w:type="dxa"/>
              <w:bottom w:w="0" w:type="dxa"/>
              <w:right w:w="10" w:type="dxa"/>
            </w:tcMar>
            <w:vAlign w:val="center"/>
          </w:tcPr>
          <w:p w14:paraId="7FBCC3CE" w14:textId="77777777" w:rsidR="007D4019" w:rsidRPr="004C4956" w:rsidRDefault="007D4019" w:rsidP="007D4019">
            <w:pPr>
              <w:jc w:val="center"/>
              <w:rPr>
                <w:rFonts w:ascii="Times New Roman" w:hAnsi="Times New Roman"/>
                <w:b/>
                <w:i/>
              </w:rPr>
            </w:pPr>
            <w:r w:rsidRPr="004C4956">
              <w:rPr>
                <w:rFonts w:ascii="Times New Roman" w:hAnsi="Times New Roman"/>
                <w:b/>
                <w:szCs w:val="24"/>
                <w:lang w:val="pt-BR"/>
              </w:rPr>
              <w:t>Bản tổng hợp, giải trình, tiếp thu ý kiến góp ý của cơ quan, tổ chức, cá nhân về Dự thảo Nghị định s</w:t>
            </w:r>
            <w:r w:rsidRPr="004C4956">
              <w:rPr>
                <w:rFonts w:ascii="Times New Roman" w:hAnsi="Times New Roman"/>
                <w:b/>
                <w:szCs w:val="24"/>
              </w:rPr>
              <w:t xml:space="preserve">ửa đổi, bổ sung một số điều của các Nghị định trong lĩnh vực giao thông đường thủy nội địa, </w:t>
            </w:r>
            <w:bookmarkStart w:id="1" w:name="_Hlk190683228"/>
            <w:r w:rsidRPr="004C4956">
              <w:rPr>
                <w:rFonts w:ascii="Times New Roman" w:hAnsi="Times New Roman"/>
                <w:b/>
                <w:szCs w:val="24"/>
              </w:rPr>
              <w:t xml:space="preserve">đường sắt </w:t>
            </w:r>
            <w:bookmarkEnd w:id="1"/>
          </w:p>
          <w:p w14:paraId="19AC110E" w14:textId="77777777" w:rsidR="003E262B" w:rsidRPr="00376227" w:rsidRDefault="003E262B" w:rsidP="00376227">
            <w:pPr>
              <w:jc w:val="center"/>
              <w:rPr>
                <w:rFonts w:ascii="Times New Roman" w:hAnsi="Times New Roman"/>
                <w:b/>
                <w:sz w:val="22"/>
                <w:szCs w:val="22"/>
              </w:rPr>
            </w:pPr>
          </w:p>
        </w:tc>
      </w:tr>
      <w:tr w:rsidR="003E262B" w:rsidRPr="00376227" w14:paraId="2ADC3FFD" w14:textId="77777777" w:rsidTr="00747997">
        <w:trPr>
          <w:trHeight w:val="20"/>
        </w:trPr>
        <w:tc>
          <w:tcPr>
            <w:tcW w:w="5000" w:type="pct"/>
            <w:gridSpan w:val="4"/>
            <w:tcBorders>
              <w:top w:val="nil"/>
              <w:left w:val="nil"/>
              <w:bottom w:val="single" w:sz="4" w:space="0" w:color="auto"/>
              <w:right w:val="nil"/>
              <w:tl2br w:val="nil"/>
              <w:tr2bl w:val="nil"/>
            </w:tcBorders>
            <w:shd w:val="clear" w:color="auto" w:fill="auto"/>
            <w:tcMar>
              <w:top w:w="0" w:type="dxa"/>
              <w:left w:w="10" w:type="dxa"/>
              <w:bottom w:w="0" w:type="dxa"/>
              <w:right w:w="10" w:type="dxa"/>
            </w:tcMar>
            <w:vAlign w:val="center"/>
          </w:tcPr>
          <w:p w14:paraId="0ADBBC87" w14:textId="77777777" w:rsidR="003E262B" w:rsidRPr="00376227" w:rsidRDefault="003E262B" w:rsidP="00376227">
            <w:pPr>
              <w:jc w:val="center"/>
              <w:rPr>
                <w:rFonts w:ascii="Times New Roman" w:hAnsi="Times New Roman"/>
                <w:b/>
                <w:sz w:val="22"/>
                <w:szCs w:val="22"/>
              </w:rPr>
            </w:pPr>
          </w:p>
        </w:tc>
      </w:tr>
      <w:tr w:rsidR="004C4956" w:rsidRPr="00376227" w14:paraId="182CE218" w14:textId="77777777" w:rsidTr="00747997">
        <w:trPr>
          <w:trHeight w:val="20"/>
        </w:trPr>
        <w:tc>
          <w:tcPr>
            <w:tcW w:w="76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14" w14:textId="77777777" w:rsidR="000C2A20" w:rsidRPr="00376227" w:rsidRDefault="000C2A20" w:rsidP="00376227">
            <w:pPr>
              <w:jc w:val="center"/>
              <w:rPr>
                <w:rFonts w:ascii="Times New Roman" w:hAnsi="Times New Roman"/>
                <w:b/>
                <w:sz w:val="22"/>
                <w:szCs w:val="22"/>
              </w:rPr>
            </w:pPr>
            <w:r w:rsidRPr="00376227">
              <w:rPr>
                <w:rFonts w:ascii="Times New Roman" w:hAnsi="Times New Roman"/>
                <w:b/>
                <w:sz w:val="22"/>
                <w:szCs w:val="22"/>
              </w:rPr>
              <w:t>NHÓM VẤN ĐỀ HOẶC ĐIỀU, KHOẢN</w:t>
            </w: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15" w14:textId="77777777" w:rsidR="000C2A20" w:rsidRPr="00376227" w:rsidRDefault="000C2A20" w:rsidP="00376227">
            <w:pPr>
              <w:jc w:val="center"/>
              <w:rPr>
                <w:rFonts w:ascii="Times New Roman" w:hAnsi="Times New Roman"/>
                <w:b/>
                <w:sz w:val="22"/>
                <w:szCs w:val="22"/>
              </w:rPr>
            </w:pPr>
            <w:r w:rsidRPr="00376227">
              <w:rPr>
                <w:rFonts w:ascii="Times New Roman" w:hAnsi="Times New Roman"/>
                <w:b/>
                <w:sz w:val="22"/>
                <w:szCs w:val="22"/>
              </w:rPr>
              <w:t>CHỦ THỂ GÓP Ý</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16" w14:textId="77777777" w:rsidR="000C2A20" w:rsidRPr="00376227" w:rsidRDefault="000C2A20" w:rsidP="00376227">
            <w:pPr>
              <w:jc w:val="center"/>
              <w:rPr>
                <w:rFonts w:ascii="Times New Roman" w:hAnsi="Times New Roman"/>
                <w:b/>
                <w:sz w:val="22"/>
                <w:szCs w:val="22"/>
              </w:rPr>
            </w:pPr>
            <w:r w:rsidRPr="00376227">
              <w:rPr>
                <w:rFonts w:ascii="Times New Roman" w:hAnsi="Times New Roman"/>
                <w:b/>
                <w:sz w:val="22"/>
                <w:szCs w:val="22"/>
              </w:rPr>
              <w:t>NỘI DUNG GÓP Ý</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17" w14:textId="77777777" w:rsidR="000C2A20" w:rsidRPr="00376227" w:rsidRDefault="000C2A20" w:rsidP="00376227">
            <w:pPr>
              <w:jc w:val="center"/>
              <w:rPr>
                <w:rFonts w:ascii="Times New Roman" w:hAnsi="Times New Roman"/>
                <w:b/>
                <w:sz w:val="22"/>
                <w:szCs w:val="22"/>
              </w:rPr>
            </w:pPr>
            <w:r w:rsidRPr="00376227">
              <w:rPr>
                <w:rFonts w:ascii="Times New Roman" w:hAnsi="Times New Roman"/>
                <w:b/>
                <w:sz w:val="22"/>
                <w:szCs w:val="22"/>
              </w:rPr>
              <w:t>NỘI DUNG TIẾP THU, GIẢI TRÌNH</w:t>
            </w:r>
          </w:p>
        </w:tc>
      </w:tr>
      <w:tr w:rsidR="00E46AE9" w:rsidRPr="00E46AE9" w14:paraId="5819EB45" w14:textId="77777777" w:rsidTr="00747997">
        <w:trPr>
          <w:trHeight w:val="20"/>
        </w:trPr>
        <w:tc>
          <w:tcPr>
            <w:tcW w:w="766" w:type="pct"/>
            <w:vMerge w:val="restart"/>
            <w:tcBorders>
              <w:top w:val="single" w:sz="4" w:space="0" w:color="auto"/>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6A420D14" w14:textId="6F02A9DE" w:rsidR="00B400A8" w:rsidRPr="0000383B" w:rsidRDefault="00B400A8" w:rsidP="006A18EE">
            <w:pPr>
              <w:jc w:val="both"/>
              <w:rPr>
                <w:rFonts w:ascii="Times New Roman" w:hAnsi="Times New Roman"/>
                <w:b/>
                <w:color w:val="000000" w:themeColor="text1"/>
                <w:sz w:val="24"/>
                <w:szCs w:val="24"/>
              </w:rPr>
            </w:pPr>
            <w:r w:rsidRPr="0000383B">
              <w:rPr>
                <w:rFonts w:ascii="Times New Roman" w:hAnsi="Times New Roman"/>
                <w:b/>
                <w:color w:val="000000" w:themeColor="text1"/>
                <w:sz w:val="24"/>
                <w:szCs w:val="24"/>
              </w:rPr>
              <w:t>Các nội dung ý kiến về cơ sở pháp lý</w:t>
            </w:r>
          </w:p>
        </w:tc>
        <w:tc>
          <w:tcPr>
            <w:tcW w:w="658" w:type="pct"/>
            <w:tcBorders>
              <w:top w:val="single" w:sz="4"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2FCA61D" w14:textId="336E7C91"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Pháp chế</w:t>
            </w:r>
          </w:p>
        </w:tc>
        <w:tc>
          <w:tcPr>
            <w:tcW w:w="1982" w:type="pct"/>
            <w:tcBorders>
              <w:top w:val="single" w:sz="4"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17D64F4" w14:textId="30AD9EDE"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Tại phần căn cứ ban hành, đề nghị xem xét, nghiên cứu theo hướng “Chính phủ ban hành Nghị định sửa đổi, bổ sung một số điều của các Nghị định trong lĩnh vực giao thông đường thủy nội địa, đường sắt.” để phù hợp tên dự thảo Nghị định</w:t>
            </w:r>
          </w:p>
        </w:tc>
        <w:tc>
          <w:tcPr>
            <w:tcW w:w="1594" w:type="pct"/>
            <w:tcBorders>
              <w:top w:val="single" w:sz="4"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296A3E2" w14:textId="6B3CF0FD" w:rsidR="00B400A8" w:rsidRPr="00E46AE9" w:rsidRDefault="006155B5"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Tiếp thu và chỉnh sửa</w:t>
            </w:r>
          </w:p>
        </w:tc>
      </w:tr>
      <w:tr w:rsidR="00E46AE9" w:rsidRPr="00E46AE9" w14:paraId="6C3921DE" w14:textId="77777777" w:rsidTr="00747997">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CF7F30B" w14:textId="77777777" w:rsidR="00B400A8" w:rsidRPr="00E46AE9" w:rsidRDefault="00B400A8" w:rsidP="006A18EE">
            <w:pPr>
              <w:jc w:val="both"/>
              <w:rPr>
                <w:rFonts w:ascii="Times New Roman" w:hAnsi="Times New Roman"/>
                <w:color w:val="000000" w:themeColor="text1"/>
                <w:sz w:val="24"/>
                <w:szCs w:val="24"/>
              </w:rPr>
            </w:pPr>
          </w:p>
        </w:tc>
        <w:tc>
          <w:tcPr>
            <w:tcW w:w="658"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F339323" w14:textId="3AD2FA1B"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Quảng Ngãi</w:t>
            </w:r>
          </w:p>
        </w:tc>
        <w:tc>
          <w:tcPr>
            <w:tcW w:w="1982"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A06AA7" w14:textId="0DC46D8B"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điều chỉnh “Căn cứ Luật Tổ chức Chính phủ ngày 19 tháng 6 năm 2015; Luật sửa đổi, bổ sung một số điều của Luật Tổ chức Chính phủ và Luật Tổ chức chính quyền địa phương ngày 22 tháng 11 năm 2019;” thành “Căn cứ Luật Tổ chức Chính phủ ngày 18 tháng 02 năm 2025”.</w:t>
            </w:r>
          </w:p>
        </w:tc>
        <w:tc>
          <w:tcPr>
            <w:tcW w:w="1594"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5D284057" w14:textId="4CDEFC61"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Không có nội dung này trong dự thảo Nghị định</w:t>
            </w:r>
          </w:p>
        </w:tc>
      </w:tr>
      <w:tr w:rsidR="00E46AE9" w:rsidRPr="00E46AE9" w14:paraId="248B7B69" w14:textId="77777777" w:rsidTr="00747997">
        <w:trPr>
          <w:trHeight w:val="20"/>
        </w:trPr>
        <w:tc>
          <w:tcPr>
            <w:tcW w:w="766" w:type="pct"/>
            <w:vMerge/>
            <w:tcBorders>
              <w:left w:val="single" w:sz="8" w:space="0" w:color="auto"/>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2C2B06E" w14:textId="77777777" w:rsidR="00B400A8" w:rsidRPr="00E46AE9" w:rsidRDefault="00B400A8" w:rsidP="006A18EE">
            <w:pPr>
              <w:jc w:val="both"/>
              <w:rPr>
                <w:rFonts w:ascii="Times New Roman" w:hAnsi="Times New Roman"/>
                <w:color w:val="000000" w:themeColor="text1"/>
                <w:sz w:val="24"/>
                <w:szCs w:val="24"/>
              </w:rPr>
            </w:pPr>
          </w:p>
        </w:tc>
        <w:tc>
          <w:tcPr>
            <w:tcW w:w="658"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1F72283" w14:textId="1E8D1510"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Hưng Yên</w:t>
            </w:r>
          </w:p>
        </w:tc>
        <w:tc>
          <w:tcPr>
            <w:tcW w:w="1982"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0F3B810" w14:textId="1A140A51"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Cơ quan soạn thảo sửa lại căn cứ “Căn cứ Luật Giao thông đường thủy nội địa ngày 15 tháng 6 năm 2004 và Luật sửa đổi, bổ sung một số điều của Luật Giao thông đường thủy nội địa ngày 17 tháng 6 năm 2014” thành “Căn cứ Luật Giao thông đường thủy nội địa ngày 15 tháng 6 năm 2004”;</w:t>
            </w:r>
          </w:p>
        </w:tc>
        <w:tc>
          <w:tcPr>
            <w:tcW w:w="1594" w:type="pct"/>
            <w:tcBorders>
              <w:top w:val="single" w:sz="8" w:space="0" w:color="auto"/>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20E8F854" w14:textId="0D3A2D2A"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giữ nguyên</w:t>
            </w:r>
          </w:p>
        </w:tc>
      </w:tr>
      <w:tr w:rsidR="00E46AE9" w:rsidRPr="00E46AE9" w14:paraId="182CE220"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val="restart"/>
            <w:tcBorders>
              <w:top w:val="nil"/>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19" w14:textId="76E9EA51" w:rsidR="005B22A8" w:rsidRPr="001A72FE" w:rsidRDefault="005B22A8" w:rsidP="006A18EE">
            <w:pPr>
              <w:jc w:val="both"/>
              <w:rPr>
                <w:rFonts w:ascii="Times New Roman" w:hAnsi="Times New Roman"/>
                <w:b/>
                <w:color w:val="000000" w:themeColor="text1"/>
                <w:sz w:val="24"/>
                <w:szCs w:val="24"/>
              </w:rPr>
            </w:pPr>
            <w:r w:rsidRPr="001A72FE">
              <w:rPr>
                <w:rFonts w:ascii="Times New Roman" w:hAnsi="Times New Roman"/>
                <w:b/>
                <w:color w:val="000000" w:themeColor="text1"/>
                <w:sz w:val="24"/>
                <w:szCs w:val="24"/>
              </w:rPr>
              <w:t xml:space="preserve">Các nội dung ý kiến liên quan đến việc sửa đổi, bổ sung </w:t>
            </w:r>
            <w:r w:rsidR="00451CD8" w:rsidRPr="001A72FE">
              <w:rPr>
                <w:rFonts w:ascii="Times New Roman" w:hAnsi="Times New Roman"/>
                <w:b/>
                <w:color w:val="000000" w:themeColor="text1"/>
                <w:sz w:val="24"/>
                <w:szCs w:val="24"/>
              </w:rPr>
              <w:t>N</w:t>
            </w:r>
            <w:r w:rsidRPr="001A72FE">
              <w:rPr>
                <w:rFonts w:ascii="Times New Roman" w:hAnsi="Times New Roman"/>
                <w:b/>
                <w:color w:val="000000" w:themeColor="text1"/>
                <w:sz w:val="24"/>
                <w:szCs w:val="24"/>
              </w:rPr>
              <w:t>ghị định số </w:t>
            </w:r>
            <w:hyperlink r:id="rId11" w:tgtFrame="_blank" w:tooltip="Nghị định 78/2016/NĐ-CP" w:history="1">
              <w:r w:rsidRPr="001A72FE">
                <w:rPr>
                  <w:rStyle w:val="Hyperlink"/>
                  <w:rFonts w:ascii="Times New Roman" w:hAnsi="Times New Roman"/>
                  <w:b/>
                  <w:color w:val="000000" w:themeColor="text1"/>
                  <w:sz w:val="24"/>
                  <w:szCs w:val="24"/>
                  <w:u w:val="none"/>
                </w:rPr>
                <w:t>78/2016/NĐ-CP</w:t>
              </w:r>
            </w:hyperlink>
            <w:r w:rsidRPr="001A72FE">
              <w:rPr>
                <w:rFonts w:ascii="Times New Roman" w:hAnsi="Times New Roman"/>
                <w:b/>
                <w:color w:val="000000" w:themeColor="text1"/>
                <w:sz w:val="24"/>
                <w:szCs w:val="24"/>
              </w:rPr>
              <w:t xml:space="preserve"> ngày 01 tháng 7 năm 2016 của Chính phủ quy định điều kiện kinh doanh dịch vụ đào tạo thuyền viên, người lái phương tiện thủy nội địa, được sửa đổi, bổ sung bởi Nghị định số </w:t>
            </w:r>
            <w:r w:rsidRPr="001A72FE">
              <w:rPr>
                <w:rFonts w:ascii="Times New Roman" w:hAnsi="Times New Roman"/>
                <w:b/>
                <w:color w:val="000000" w:themeColor="text1"/>
                <w:sz w:val="24"/>
                <w:szCs w:val="24"/>
              </w:rPr>
              <w:lastRenderedPageBreak/>
              <w:t xml:space="preserve">128/2018/NĐ-CP ngày 24 tháng 9 năm 2018 của Chính phủ </w:t>
            </w:r>
          </w:p>
        </w:tc>
        <w:tc>
          <w:tcPr>
            <w:tcW w:w="658" w:type="pct"/>
            <w:vMerge w:val="restart"/>
            <w:tcBorders>
              <w:top w:val="nil"/>
              <w:left w:val="nil"/>
              <w:right w:val="single" w:sz="8" w:space="0" w:color="auto"/>
              <w:tl2br w:val="nil"/>
              <w:tr2bl w:val="nil"/>
            </w:tcBorders>
            <w:shd w:val="clear" w:color="auto" w:fill="auto"/>
            <w:tcMar>
              <w:top w:w="0" w:type="dxa"/>
              <w:left w:w="10" w:type="dxa"/>
              <w:bottom w:w="0" w:type="dxa"/>
              <w:right w:w="10" w:type="dxa"/>
            </w:tcMar>
            <w:vAlign w:val="center"/>
          </w:tcPr>
          <w:p w14:paraId="1106D4EC" w14:textId="67D2ED96" w:rsidR="005B22A8" w:rsidRPr="00E46AE9" w:rsidRDefault="0037622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 xml:space="preserve">- </w:t>
            </w:r>
            <w:r w:rsidR="005B22A8" w:rsidRPr="00E46AE9">
              <w:rPr>
                <w:rFonts w:ascii="Times New Roman" w:hAnsi="Times New Roman"/>
                <w:color w:val="000000" w:themeColor="text1"/>
                <w:sz w:val="24"/>
                <w:szCs w:val="24"/>
              </w:rPr>
              <w:t>Vụ Pháp chế</w:t>
            </w:r>
          </w:p>
          <w:p w14:paraId="0BE36B12" w14:textId="21F1805D" w:rsidR="00F769C6" w:rsidRPr="00E46AE9" w:rsidRDefault="0037622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w:t>
            </w:r>
            <w:r w:rsidR="00F769C6" w:rsidRPr="00E46AE9">
              <w:rPr>
                <w:rFonts w:ascii="Times New Roman" w:hAnsi="Times New Roman"/>
                <w:color w:val="000000" w:themeColor="text1"/>
                <w:sz w:val="24"/>
                <w:szCs w:val="24"/>
              </w:rPr>
              <w:t>Vụ Vận tải</w:t>
            </w:r>
          </w:p>
          <w:p w14:paraId="182CE21B" w14:textId="48D646B4" w:rsidR="00B90AF8" w:rsidRPr="00E46AE9" w:rsidRDefault="0037622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w:t>
            </w:r>
            <w:r w:rsidR="00B90AF8" w:rsidRPr="00E46AE9">
              <w:rPr>
                <w:rFonts w:ascii="Times New Roman" w:hAnsi="Times New Roman"/>
                <w:color w:val="000000" w:themeColor="text1"/>
                <w:sz w:val="24"/>
                <w:szCs w:val="24"/>
              </w:rPr>
              <w:t>Sở Xây dựng Hưng Yên</w:t>
            </w:r>
          </w:p>
        </w:tc>
        <w:tc>
          <w:tcPr>
            <w:tcW w:w="1982"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1E" w14:textId="233599B8" w:rsidR="005B22A8" w:rsidRPr="00E46AE9" w:rsidRDefault="005B22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làm rõ việc thay thế Mẫu 02 do mẫu này không thay đổi</w:t>
            </w:r>
          </w:p>
        </w:tc>
        <w:tc>
          <w:tcPr>
            <w:tcW w:w="1594"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1F" w14:textId="187585AF" w:rsidR="005B22A8" w:rsidRPr="00E46AE9" w:rsidRDefault="004F59E4"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t>Mẫu 02 có thay đổi nội dung và đã được thuyết minh tại Tờ trình.</w:t>
            </w:r>
            <w:r w:rsidR="000B5333" w:rsidRPr="00E46AE9">
              <w:rPr>
                <w:rFonts w:ascii="Times New Roman" w:hAnsi="Times New Roman"/>
                <w:color w:val="000000" w:themeColor="text1"/>
                <w:sz w:val="24"/>
                <w:szCs w:val="24"/>
              </w:rPr>
              <w:t xml:space="preserve"> </w:t>
            </w:r>
          </w:p>
        </w:tc>
      </w:tr>
      <w:tr w:rsidR="00E46AE9" w:rsidRPr="00E46AE9" w14:paraId="182CE226"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21" w14:textId="77777777" w:rsidR="005B22A8" w:rsidRPr="00E46AE9" w:rsidRDefault="005B22A8" w:rsidP="006A18EE">
            <w:pPr>
              <w:jc w:val="both"/>
              <w:rPr>
                <w:rFonts w:ascii="Times New Roman" w:hAnsi="Times New Roman"/>
                <w:color w:val="000000" w:themeColor="text1"/>
                <w:sz w:val="24"/>
                <w:szCs w:val="24"/>
              </w:rPr>
            </w:pPr>
          </w:p>
        </w:tc>
        <w:tc>
          <w:tcPr>
            <w:tcW w:w="658" w:type="pct"/>
            <w:vMerge/>
            <w:tcBorders>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22" w14:textId="77777777" w:rsidR="005B22A8" w:rsidRPr="00E46AE9" w:rsidRDefault="005B22A8" w:rsidP="006A18EE">
            <w:pPr>
              <w:jc w:val="both"/>
              <w:rPr>
                <w:rFonts w:ascii="Times New Roman" w:hAnsi="Times New Roman"/>
                <w:color w:val="000000" w:themeColor="text1"/>
                <w:sz w:val="24"/>
                <w:szCs w:val="24"/>
              </w:rPr>
            </w:pPr>
          </w:p>
        </w:tc>
        <w:tc>
          <w:tcPr>
            <w:tcW w:w="1982"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9F466EE" w14:textId="7E6DA802" w:rsidR="005B22A8" w:rsidRPr="00E46AE9" w:rsidRDefault="00F769C6"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w:t>
            </w:r>
            <w:r w:rsidR="005B22A8" w:rsidRPr="00E46AE9">
              <w:rPr>
                <w:rFonts w:ascii="Times New Roman" w:hAnsi="Times New Roman"/>
                <w:color w:val="000000" w:themeColor="text1"/>
                <w:sz w:val="24"/>
                <w:szCs w:val="24"/>
              </w:rPr>
              <w:t>Đề nghị thay thế cụm từ “Bộ Lao động – Thương binh và Xã hội” tại Khoản 2 Điều 16 do hiện nay không còn cơ quan này</w:t>
            </w:r>
          </w:p>
          <w:p w14:paraId="182CE224" w14:textId="4FD351C8" w:rsidR="00F769C6" w:rsidRPr="00E46AE9" w:rsidRDefault="00F769C6"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Đề nghị bổ sung một khoản quy định việc đổi tên “Bộ Lao động - Thương binh và Xã hội” (tại Điều 16, khoản 2 Nghị định số 78/2016/NĐ-CP) thành cơ quan thẩm quyền tương ứng là “Bộ Nội vụ” theo Nghị quyết số 176/2025/QH15 của Quốc hội về cơ cấu tổ chức của Chính phủ nhiệm kỳ Quốc hội khóa XV.</w:t>
            </w:r>
          </w:p>
        </w:tc>
        <w:tc>
          <w:tcPr>
            <w:tcW w:w="1594"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25" w14:textId="31947CF7" w:rsidR="005B22A8" w:rsidRPr="00E46AE9" w:rsidRDefault="000B5333"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Tiếp thu và chỉnh sửa</w:t>
            </w:r>
          </w:p>
        </w:tc>
      </w:tr>
      <w:tr w:rsidR="00E46AE9" w:rsidRPr="00E46AE9" w14:paraId="4DD3DF05"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074D6CA1" w14:textId="113C5948" w:rsidR="005B22A8" w:rsidRPr="00E46AE9" w:rsidRDefault="005B22A8" w:rsidP="006A18EE">
            <w:pPr>
              <w:jc w:val="both"/>
              <w:rPr>
                <w:rFonts w:ascii="Times New Roman" w:hAnsi="Times New Roman"/>
                <w:color w:val="000000" w:themeColor="text1"/>
                <w:sz w:val="24"/>
                <w:szCs w:val="24"/>
              </w:rPr>
            </w:pPr>
          </w:p>
        </w:tc>
        <w:tc>
          <w:tcPr>
            <w:tcW w:w="658" w:type="pct"/>
            <w:tcBorders>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404D2013" w14:textId="2E9B981E" w:rsidR="005B22A8" w:rsidRPr="00E46AE9" w:rsidRDefault="00B90AF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UBND tỉnh Hải Phòng</w:t>
            </w:r>
          </w:p>
        </w:tc>
        <w:tc>
          <w:tcPr>
            <w:tcW w:w="1982"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76A83D4" w14:textId="77777777" w:rsidR="00B400A8" w:rsidRPr="00E46AE9" w:rsidRDefault="00B400A8" w:rsidP="006A18EE">
            <w:pPr>
              <w:jc w:val="both"/>
              <w:rPr>
                <w:rFonts w:ascii="Times New Roman" w:hAnsi="Times New Roman"/>
                <w:b/>
                <w:color w:val="000000" w:themeColor="text1"/>
                <w:sz w:val="24"/>
                <w:szCs w:val="24"/>
              </w:rPr>
            </w:pPr>
            <w:r w:rsidRPr="00E46AE9">
              <w:rPr>
                <w:rFonts w:ascii="Times New Roman" w:hAnsi="Times New Roman"/>
                <w:b/>
                <w:color w:val="000000" w:themeColor="text1"/>
                <w:sz w:val="24"/>
                <w:szCs w:val="24"/>
              </w:rPr>
              <w:t xml:space="preserve">Khoản 3 Điều 1 </w:t>
            </w:r>
          </w:p>
          <w:p w14:paraId="25DCFC88" w14:textId="288ACFA5"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sửa lại khoản 4 Điều 10 như sau: </w:t>
            </w:r>
          </w:p>
          <w:p w14:paraId="459E99EB" w14:textId="77777777"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 xml:space="preserve">“Điều 4. Sở Xây dựng các tỉnh, thành phố trực thuộc trung ương có trách nhiệm tổ chức cấp, cấp lại, thu hồi Giấy chứng nhận cơ sở đủ điều kiện kinh doanh dịch vụ đào tạo thuyền viên, người lái phương tiện thủy nội địa đối với cơ sở kinh doanh dịch vụ đào tạo thuyền viên, người lái phương tiện thủy nội địa trong phạm vi địa phương" </w:t>
            </w:r>
          </w:p>
          <w:p w14:paraId="69D44C98" w14:textId="70839FD7" w:rsidR="005B22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Lý do: Hiện nay, Sở Xây dựng các tỉnh, thành phố trực thuộc trung ương đã thực hiện việc tổ chức cấp, cấp lại, thu hồi Giấy chứng nhận cơ sở đủ điều kiện kinh doanh dịch vụ đào tạo thuyền viên, người lái phương tiện thủy nội địa đối với cơ sở loại 4 trong phạm vi địa phương, nên việc phân cấp để các Sở Xây dựng địa phương thực hiện việc cấp, cấp lại, thu hồi Giấy chứng nhận cơ sở đủ Điều kiện kinh doanh dịch vụ đào tạo thuyền viên, người lái phương tiện thủy nội địa các loại trên địa bàn cho thuận tiện việc quản lý nhà nước về lĩnh vực kinh doanh dịch vụ đào tạo thuyền viên, người lái phương tiện thủy nội địa của địa phương.</w:t>
            </w:r>
          </w:p>
        </w:tc>
        <w:tc>
          <w:tcPr>
            <w:tcW w:w="1594"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08B5F4E" w14:textId="5F8E7BAE" w:rsidR="005B22A8" w:rsidRPr="00E46AE9" w:rsidRDefault="006761AF"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lastRenderedPageBreak/>
              <w:t xml:space="preserve">Hiện nay, việc </w:t>
            </w:r>
            <w:r w:rsidRPr="00944E9E">
              <w:rPr>
                <w:rFonts w:ascii="Times New Roman" w:hAnsi="Times New Roman"/>
                <w:color w:val="000000" w:themeColor="text1"/>
                <w:sz w:val="24"/>
                <w:szCs w:val="24"/>
              </w:rPr>
              <w:t>phân cấp</w:t>
            </w:r>
            <w:r>
              <w:rPr>
                <w:rFonts w:ascii="Times New Roman" w:hAnsi="Times New Roman"/>
                <w:color w:val="000000" w:themeColor="text1"/>
                <w:sz w:val="24"/>
                <w:szCs w:val="24"/>
              </w:rPr>
              <w:t xml:space="preserve"> nhiệm vụ cấp, cấp lại, thu hồi GCN cơ sở đủ điều kiện kinh doanh dịch </w:t>
            </w:r>
            <w:r>
              <w:rPr>
                <w:rFonts w:ascii="Times New Roman" w:hAnsi="Times New Roman"/>
                <w:color w:val="000000" w:themeColor="text1"/>
                <w:sz w:val="24"/>
                <w:szCs w:val="24"/>
              </w:rPr>
              <w:lastRenderedPageBreak/>
              <w:t>vụ đào tạo thuyền viên, người lái phương tiện thủy nội địa đối với cơ sở từ loại 3 trở lên trong phạm vi địa phương về UBND cấp tỉnh tại Nghị định số 144/2025/NĐ-CP của Chính phủ</w:t>
            </w:r>
          </w:p>
        </w:tc>
      </w:tr>
      <w:tr w:rsidR="00E46AE9" w:rsidRPr="00E46AE9" w14:paraId="043501AC"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264E1610" w14:textId="77777777" w:rsidR="00B400A8" w:rsidRPr="00E46AE9" w:rsidRDefault="00B400A8" w:rsidP="006A18EE">
            <w:pPr>
              <w:jc w:val="both"/>
              <w:rPr>
                <w:rFonts w:ascii="Times New Roman" w:hAnsi="Times New Roman"/>
                <w:color w:val="000000" w:themeColor="text1"/>
                <w:sz w:val="24"/>
                <w:szCs w:val="24"/>
              </w:rPr>
            </w:pPr>
          </w:p>
        </w:tc>
        <w:tc>
          <w:tcPr>
            <w:tcW w:w="658" w:type="pct"/>
            <w:tcBorders>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CB117E4" w14:textId="23C18019"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Vận tải</w:t>
            </w:r>
          </w:p>
        </w:tc>
        <w:tc>
          <w:tcPr>
            <w:tcW w:w="1982"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50EE4285" w14:textId="515BF45B" w:rsidR="00B400A8" w:rsidRPr="00E46AE9" w:rsidRDefault="00B400A8"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Phụ lục 1, Mẫu số 04: Đề nghị sửa cụm từ “Đào tạo, bổ túc, bồi dưỡng” thành cụm từ “Đào tạo, bồi dưỡng” để phù hợp với quy định pháp luật về dạy nghề và thực tiễn công tác đào tạo, bồi dưỡng hiện nay.</w:t>
            </w:r>
          </w:p>
        </w:tc>
        <w:tc>
          <w:tcPr>
            <w:tcW w:w="1594" w:type="pct"/>
            <w:tcBorders>
              <w:top w:val="nil"/>
              <w:left w:val="nil"/>
              <w:bottom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6EF1A5B" w14:textId="77777777" w:rsidR="0079689C" w:rsidRPr="00E46AE9" w:rsidRDefault="0079689C"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giữ nguyên vì hiện nay cơ sở đào tạo ngoài việc đào tạo, bồi dưỡng, cấp CCCM còn có chức năng bổ túc chuyển đổi, nâng hạng GCNKNCM, CCCM.</w:t>
            </w:r>
          </w:p>
          <w:p w14:paraId="5F7AC719" w14:textId="6EC2BE0D" w:rsidR="00B400A8" w:rsidRPr="00E46AE9" w:rsidRDefault="0079689C"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Đồng thời giữ nguyên để đồng nhất với việc phân loại Cơ sở đào tạo tại Điều 4 Nghị định số 78/2016/NĐ-CP </w:t>
            </w:r>
          </w:p>
        </w:tc>
      </w:tr>
      <w:tr w:rsidR="00E46AE9" w:rsidRPr="00E46AE9" w14:paraId="3A33C25D"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val="restart"/>
            <w:tcBorders>
              <w:top w:val="single" w:sz="4" w:space="0" w:color="auto"/>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04CDF67" w14:textId="0DD2EB28" w:rsidR="00902C69" w:rsidRPr="001A72FE" w:rsidRDefault="00902C69" w:rsidP="006A18EE">
            <w:pPr>
              <w:jc w:val="both"/>
              <w:rPr>
                <w:rFonts w:ascii="Times New Roman" w:hAnsi="Times New Roman"/>
                <w:b/>
                <w:color w:val="000000" w:themeColor="text1"/>
                <w:sz w:val="24"/>
                <w:szCs w:val="24"/>
              </w:rPr>
            </w:pPr>
            <w:r w:rsidRPr="001A72FE">
              <w:rPr>
                <w:rFonts w:ascii="Times New Roman" w:hAnsi="Times New Roman"/>
                <w:b/>
                <w:color w:val="000000" w:themeColor="text1"/>
                <w:sz w:val="24"/>
                <w:szCs w:val="24"/>
              </w:rPr>
              <w:t>Các nội dung ý kiến liên quan đến việc sửa đổi, bổ sung Nghị định số 139/2021/NĐ-CP ngày 31/12/2021 của Chính phủ quy định xử phạt vi phạm hành chính trong lĩnh vực giao thông đường thủy nội địa.</w:t>
            </w: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0233E06" w14:textId="6A7A3163"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Bộ Tư pháp</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6B6653BB" w14:textId="701BB2F9" w:rsidR="00902C69" w:rsidRPr="00E46AE9" w:rsidRDefault="00FF025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w:t>
            </w:r>
            <w:r w:rsidR="00902C69" w:rsidRPr="00E46AE9">
              <w:rPr>
                <w:rFonts w:ascii="Times New Roman" w:hAnsi="Times New Roman"/>
                <w:color w:val="000000" w:themeColor="text1"/>
                <w:sz w:val="24"/>
                <w:szCs w:val="24"/>
              </w:rPr>
              <w:t>Bộ Tư pháp đang tham mưu Chính phủ xây dựng, trình Quốc hội dự án Luật sửa đổi, bổ sung một số điều của Luật Xử lý vi phạm hành chính và trình Chính phủ và 02 dự thảo Nghị định về xử lý vi phạm hành chính:</w:t>
            </w:r>
          </w:p>
          <w:p w14:paraId="13B278CD" w14:textId="3A5098E6" w:rsidR="00902C69" w:rsidRPr="00E46AE9" w:rsidRDefault="00FF025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w:t>
            </w:r>
            <w:r w:rsidR="00902C69" w:rsidRPr="00E46AE9">
              <w:rPr>
                <w:rFonts w:ascii="Times New Roman" w:hAnsi="Times New Roman"/>
                <w:color w:val="000000" w:themeColor="text1"/>
                <w:sz w:val="24"/>
                <w:szCs w:val="24"/>
              </w:rPr>
              <w:t xml:space="preserve"> Dự thảo Nghị định sửa đổi, bổ sung một số điều của Nghị định số 118/2021/NĐ-CP ngày 23/12/2021 của Chính phủ quy định chi tiết một số điều và biện pháp thi hành Luật Xử lý vi phạm hành chính (được sửa đổi, bổ sung bởi Nghị định số 68/2025/NĐ-CP), trong đó, sửa đổi, bổ sung quy định chi tiết về xử phạt vi phạm hành chính trên môi trường điện tử. </w:t>
            </w:r>
          </w:p>
          <w:p w14:paraId="31402888" w14:textId="3161C9EB" w:rsidR="00902C69" w:rsidRPr="00E46AE9" w:rsidRDefault="00FF025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w:t>
            </w:r>
            <w:r w:rsidR="00902C69" w:rsidRPr="00E46AE9">
              <w:rPr>
                <w:rFonts w:ascii="Times New Roman" w:hAnsi="Times New Roman"/>
                <w:color w:val="000000" w:themeColor="text1"/>
                <w:sz w:val="24"/>
                <w:szCs w:val="24"/>
              </w:rPr>
              <w:t xml:space="preserve"> Dự thảo Nghị định quy định chi tiết Luật Xử lý vi phạm hành chính về thẩm quyền xử phạt vi phạm hành chính, trong đó, sửa đổi, bổ sung quy định chi tiết về thẩm quyền xử phạt vi phạm hành chính của các chức danh.</w:t>
            </w:r>
          </w:p>
          <w:p w14:paraId="0F8C0C2C"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Theo Kế hoạch đang được Bộ Tư pháp xây dựng, khi Luật sửa đổi, bổ sung một số điều của Luật Xử lý vi phạm hành chính được ban hành, tất cả các Nghị định về xử phạt vi phạm hành chính trong các lĩnh vực quản lý nhà nước, trong đó có Nghị định số 139/2021/NĐ-CP phải được sửa đổi, bổ sung để bảo đảm phù hợp với quy định của Luật. Do vậy, cơ quan chủ trì soạn thảo cần bám sát nội dung và tiến độ xây dựng, ban hành của những văn bản trên để sửa đổi, bổ sung Nghị định số 139/2021/NĐ-CP, đồng thời, rà soát, chỉnh lý các quy định tại dự thảo Nghị định, bảo đảm phù hợp với quy định của Luật Xử lý vi phạm hành chính và sự thống nhất, đồng bộ với các văn bản quy định chi tiết Luật sau khi các văn bản này được ban hành.</w:t>
            </w:r>
          </w:p>
          <w:p w14:paraId="330F2A39" w14:textId="410FAE35" w:rsidR="00FF0259" w:rsidRPr="00E46AE9" w:rsidRDefault="00FF025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Nghị định số 139/2021/NĐ-CP được ban hành năm 2021, đến nay đã được 04 năm. Đề nghị cơ quan chủ trì soạn thảo rà soát, đánh giá tổng thể các quy định về hành vi vi phạm trên cơ sở thực tiễn thi hành và các quy định khác có liên quan (lưu ý đối chiếu với các văn bản quy phạm pháp luật nội dung quản lý nhà nước về giao thông đường thủy nội địa) để có cơ sở đề xuất giữ nguyên hoặc sửa đổi bổ sung các quy định của Nghị định này.</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19AF39C" w14:textId="21B6D355" w:rsidR="00902C69" w:rsidRPr="00E46AE9" w:rsidRDefault="00902C69" w:rsidP="006A18EE">
            <w:pPr>
              <w:spacing w:before="80" w:after="120" w:line="288" w:lineRule="auto"/>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Cục HHĐTVN chỉ đề xuất sửa đổi, bổ sung một số nội dung liên quan đến Đề án 06. Ngoài ra, các vấn đề về thẩm quyền Cục HHĐTVN hiện na</w:t>
            </w:r>
            <w:r w:rsidR="00FF0259" w:rsidRPr="00E46AE9">
              <w:rPr>
                <w:rFonts w:ascii="Times New Roman" w:hAnsi="Times New Roman"/>
                <w:color w:val="000000" w:themeColor="text1"/>
                <w:sz w:val="24"/>
                <w:szCs w:val="24"/>
              </w:rPr>
              <w:t>y chưa đề nghị sửa đổi, bổ sung. Nghị định 139/2021/NĐ-CP sẽ được tổng kết đánh giá thi hành để sửa đổi, bổ sung sau khi Nghị định về xử phạt vi phạm hành chính của Bộ Tư pháp chủ trì soạn thảo được ban hành</w:t>
            </w:r>
          </w:p>
          <w:p w14:paraId="00805EAC"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57BCAC66"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7C2E9C92"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23397857"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6ECA5946"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63CFD10F"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36940564"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679F981B"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709B2849"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0B65689E"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4C6B1EAF"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4484FCA3"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3CDCC39F"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7C496C65"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27D06364"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0081C12F"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0CDCD0FD"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0E4A3422"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304E52D9"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47CD1D6F" w14:textId="77777777" w:rsidR="00FF0259" w:rsidRPr="00E46AE9" w:rsidRDefault="00FF0259" w:rsidP="006A18EE">
            <w:pPr>
              <w:spacing w:before="80" w:after="120" w:line="288" w:lineRule="auto"/>
              <w:jc w:val="both"/>
              <w:rPr>
                <w:rFonts w:ascii="Times New Roman" w:hAnsi="Times New Roman"/>
                <w:color w:val="000000" w:themeColor="text1"/>
                <w:sz w:val="24"/>
                <w:szCs w:val="24"/>
              </w:rPr>
            </w:pPr>
          </w:p>
          <w:p w14:paraId="67D38F77" w14:textId="055C6160" w:rsidR="00FF0259" w:rsidRPr="00E46AE9" w:rsidRDefault="00FF0259" w:rsidP="006A18EE">
            <w:pPr>
              <w:spacing w:before="80" w:after="120" w:line="288" w:lineRule="auto"/>
              <w:jc w:val="both"/>
              <w:rPr>
                <w:rFonts w:ascii="Times New Roman" w:hAnsi="Times New Roman"/>
                <w:color w:val="000000" w:themeColor="text1"/>
                <w:sz w:val="24"/>
                <w:szCs w:val="24"/>
              </w:rPr>
            </w:pPr>
          </w:p>
        </w:tc>
      </w:tr>
      <w:tr w:rsidR="00E46AE9" w:rsidRPr="00E46AE9" w14:paraId="182CE233"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27" w14:textId="32D5C9AB"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490DA887" w14:textId="284489EC"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Vụ Pháp chế</w:t>
            </w:r>
          </w:p>
          <w:p w14:paraId="0FBA3C9D"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Sở Xây dựng Nam Định</w:t>
            </w:r>
          </w:p>
          <w:p w14:paraId="182CE228" w14:textId="22F35248"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Sở Xây dựng Lai Châu</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223F001" w14:textId="5BA56462"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Đề nghị rà soát theo hướng sửa đổi, bổ sung các nội dung liên quan đến việc thay đổi tên cơ quan, đơn vị khi sắp xếp tổ chức bộ máy nhà nước (như cụm từ "Bộ Giao thông vận tải", "Cục Đường thủy nội địa Việt Nam",...)</w:t>
            </w:r>
          </w:p>
          <w:p w14:paraId="2812E574" w14:textId="30E113E3"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Tại Điều 2 dự thảo Nghị định đề nghị:</w:t>
            </w:r>
          </w:p>
          <w:p w14:paraId="433A5C6F" w14:textId="0999DAE0"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Thay thế cụm từ “Bộ Giao thông vận tải” bằng cụm từ “Bộ Xây dựng” tại khoản 3 Điều 42; khoản 3, 4 Điều 46 Nghị định số 139/2021/NĐ-CP ngày 31 tháng 12 năm 2021 của Chính phủ quy định xử phạt vi phạm hành chính trong lĩnh vực giao thông đường thủy nội địa. </w:t>
            </w:r>
          </w:p>
          <w:p w14:paraId="58E0DA11" w14:textId="20172C41"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Thay thế cụm từ “Sở Giao thông vận tải” bằng cụm từ “Sở Xây dựng” tại khoản 4 Điều 42; khoản 2 Điều 46 Nghị định số 139/2021/NĐ-CP ngày 31 tháng 12 năm 2021 của Chính phủ quy định xử phạt vi phạm hành chính trong lĩnh vực giao thông đường thủy nội địa. </w:t>
            </w:r>
          </w:p>
          <w:p w14:paraId="182CE22F" w14:textId="6D9024A4"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Thay thế cụm từ “Cục Đường thủy nội địa Việt Nam” bằng cụm từ “Cục Hàng hải và Đường thủy Việt Nam” tại khoản 3 Điều 42; khoản 2, 4 Điều 46 Nghị định số 139/2021/NĐ-CP ngày 31 tháng 12 năm 2021 của Chính phủ quy định xử phạt vi phạm hành chính trong lĩnh vực giao thông đường thủy nội địa.</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55BD78B2" w14:textId="4377CE8D" w:rsidR="00902C69" w:rsidRPr="00E46AE9" w:rsidRDefault="00902C69" w:rsidP="006A18EE">
            <w:pPr>
              <w:spacing w:before="80" w:after="120" w:line="288" w:lineRule="auto"/>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Đề nghị giữ nguyên </w:t>
            </w:r>
            <w:r w:rsidR="003E262B">
              <w:rPr>
                <w:rFonts w:ascii="Times New Roman" w:hAnsi="Times New Roman"/>
                <w:color w:val="000000" w:themeColor="text1"/>
                <w:sz w:val="24"/>
                <w:szCs w:val="24"/>
              </w:rPr>
              <w:t xml:space="preserve">vì hiện nay, </w:t>
            </w:r>
            <w:r w:rsidR="006761AF">
              <w:rPr>
                <w:rFonts w:ascii="Times New Roman" w:hAnsi="Times New Roman"/>
                <w:color w:val="000000" w:themeColor="text1"/>
                <w:sz w:val="24"/>
                <w:szCs w:val="24"/>
              </w:rPr>
              <w:t>Bộ Tư pháp đang</w:t>
            </w:r>
            <w:r w:rsidRPr="00E46AE9">
              <w:rPr>
                <w:rFonts w:ascii="Times New Roman" w:hAnsi="Times New Roman"/>
                <w:color w:val="000000" w:themeColor="text1"/>
                <w:sz w:val="24"/>
                <w:szCs w:val="24"/>
              </w:rPr>
              <w:t xml:space="preserve"> xây dựng dự thảo Luật sửa đổi, bổ sung một số điều của Luật Xử lý vi phạm hành chính; dự thảo Nghị định sửa đổi, bổ sung một số điều của các Nghị định quy định về xử phạt vi phạm hành chính trong lĩnh vực liên quan đến thẩm quyền xử phạt vi phạm hành chính của các chức danh (theo trình tự, thủ tục rút gọn). Theo đó, các nội dung thay đổi về tên gọi của các cơ quan, tổ chức, chức danh có thẩm quyền xử phạt vi phạm hành chính trong lĩnh vực giao thông cũng được Bộ Tư pháp đề xuất sửa đổi. Vì vậy, Cục Hàng hải Việt Nam không đề xuất sửa đổi tên cơ quan, chức danh có thẩm quyền xử phạt vi phạm hành chính tại dự thảo Nghị định này.</w:t>
            </w:r>
          </w:p>
          <w:p w14:paraId="182CE232" w14:textId="77777777" w:rsidR="00902C69" w:rsidRPr="00E46AE9" w:rsidRDefault="00902C69" w:rsidP="006A18EE">
            <w:pPr>
              <w:jc w:val="both"/>
              <w:rPr>
                <w:rFonts w:ascii="Times New Roman" w:hAnsi="Times New Roman"/>
                <w:color w:val="000000" w:themeColor="text1"/>
                <w:sz w:val="24"/>
                <w:szCs w:val="24"/>
              </w:rPr>
            </w:pPr>
          </w:p>
        </w:tc>
      </w:tr>
      <w:tr w:rsidR="00E46AE9" w:rsidRPr="00E46AE9" w14:paraId="6C424433"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685CB72E"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47EC45B0" w14:textId="5C6EA8D2"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Khánh Hòa</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4E3A52F1" w14:textId="6197EB63" w:rsidR="00902C69" w:rsidRPr="00E46AE9" w:rsidRDefault="00902C69" w:rsidP="006A18EE">
            <w:pPr>
              <w:jc w:val="both"/>
              <w:rPr>
                <w:rFonts w:ascii="Times New Roman" w:hAnsi="Times New Roman"/>
                <w:noProof w:val="0"/>
                <w:color w:val="000000" w:themeColor="text1"/>
                <w:sz w:val="24"/>
                <w:szCs w:val="24"/>
              </w:rPr>
            </w:pPr>
            <w:r w:rsidRPr="00E46AE9">
              <w:rPr>
                <w:rFonts w:ascii="Times New Roman" w:hAnsi="Times New Roman"/>
                <w:color w:val="000000" w:themeColor="text1"/>
                <w:sz w:val="24"/>
                <w:szCs w:val="24"/>
              </w:rPr>
              <w:t>Về Điều 2. Sửa đổi, bổ sung một số điều của Nghị định số 139/2021/NĐ CP ngày 31/12/2021 của Chính phủ quy định xử phạt vi phạm hành chính trong lĩnh vực giao thông đường thủy nội địa: Đề nghị quy định rõ hơn các tiêu chí kỹ thuật để các cơ quan kiểm tra có thể khai thác dữ liệu đầy đủ, đúng quy chuẩn từ các hệ thống điện tử.</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E8CD7DF" w14:textId="11446AD2" w:rsidR="00902C69" w:rsidRPr="00E46AE9" w:rsidRDefault="00902C69" w:rsidP="006A18EE">
            <w:pPr>
              <w:spacing w:before="80" w:after="120" w:line="288" w:lineRule="auto"/>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Các tiêu chí kỹ thuật </w:t>
            </w:r>
            <w:r w:rsidR="006761AF">
              <w:rPr>
                <w:rFonts w:ascii="Times New Roman" w:hAnsi="Times New Roman"/>
                <w:color w:val="000000" w:themeColor="text1"/>
                <w:sz w:val="24"/>
                <w:szCs w:val="24"/>
              </w:rPr>
              <w:t xml:space="preserve">không thuộc phạm vi sửa đổi tại </w:t>
            </w:r>
            <w:r w:rsidRPr="00E46AE9">
              <w:rPr>
                <w:rFonts w:ascii="Times New Roman" w:hAnsi="Times New Roman"/>
                <w:color w:val="000000" w:themeColor="text1"/>
                <w:sz w:val="24"/>
                <w:szCs w:val="24"/>
              </w:rPr>
              <w:t>Nghị định này,</w:t>
            </w:r>
            <w:r w:rsidR="006761AF">
              <w:rPr>
                <w:rFonts w:ascii="Times New Roman" w:hAnsi="Times New Roman"/>
                <w:color w:val="000000" w:themeColor="text1"/>
                <w:sz w:val="24"/>
                <w:szCs w:val="24"/>
              </w:rPr>
              <w:t>điều này sẽ</w:t>
            </w:r>
            <w:r w:rsidRPr="00E46AE9">
              <w:rPr>
                <w:rFonts w:ascii="Times New Roman" w:hAnsi="Times New Roman"/>
                <w:color w:val="000000" w:themeColor="text1"/>
                <w:sz w:val="24"/>
                <w:szCs w:val="24"/>
              </w:rPr>
              <w:t xml:space="preserve"> được quy định ở văn bản quy phạm pháp luật chuyên ngành.</w:t>
            </w:r>
            <w:r w:rsidR="006761AF">
              <w:rPr>
                <w:rFonts w:ascii="Times New Roman" w:hAnsi="Times New Roman"/>
                <w:color w:val="000000" w:themeColor="text1"/>
                <w:sz w:val="24"/>
                <w:szCs w:val="24"/>
              </w:rPr>
              <w:t xml:space="preserve"> Cục HHĐTVN sẽ ghi nhận và gửi ý kiến khi được Bộ Tư pháp lấy kiến dự thảo Nghị định sửa đổi, bổ sung một số điều của Nghị định số 118/2021/NĐ-CP</w:t>
            </w:r>
          </w:p>
        </w:tc>
      </w:tr>
      <w:tr w:rsidR="00E46AE9" w:rsidRPr="00E46AE9" w14:paraId="2F1095BC"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668AC6B1" w14:textId="77777777" w:rsidR="00902C69" w:rsidRPr="00E46AE9" w:rsidRDefault="00902C69" w:rsidP="006A18EE">
            <w:pPr>
              <w:jc w:val="both"/>
              <w:rPr>
                <w:rFonts w:ascii="Times New Roman" w:hAnsi="Times New Roman"/>
                <w:color w:val="000000" w:themeColor="text1"/>
                <w:sz w:val="24"/>
                <w:szCs w:val="24"/>
              </w:rPr>
            </w:pPr>
          </w:p>
        </w:tc>
        <w:tc>
          <w:tcPr>
            <w:tcW w:w="658" w:type="pct"/>
            <w:vMerge w:val="restart"/>
            <w:tcBorders>
              <w:top w:val="nil"/>
              <w:left w:val="nil"/>
              <w:right w:val="single" w:sz="8" w:space="0" w:color="auto"/>
              <w:tl2br w:val="nil"/>
              <w:tr2bl w:val="nil"/>
            </w:tcBorders>
            <w:shd w:val="clear" w:color="auto" w:fill="auto"/>
            <w:tcMar>
              <w:top w:w="0" w:type="dxa"/>
              <w:left w:w="10" w:type="dxa"/>
              <w:bottom w:w="0" w:type="dxa"/>
              <w:right w:w="10" w:type="dxa"/>
            </w:tcMar>
            <w:vAlign w:val="center"/>
          </w:tcPr>
          <w:p w14:paraId="74F572ED" w14:textId="32D45E64"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Bộ Tài chính</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0746ED41" w14:textId="0ED2B472"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Bộ Xây dựng nghiên cứu, sửa đổi khoản 1 Điều 55 Nghị định 139/2021/NĐ-CP ngày 31/12/2021 theo hướng quy định cụ thể trong thời hạn tối đa bao nhiêu ngày/ngày làm việc kể từ ngày ra quyết định xử phạt vi phạm hành </w:t>
            </w:r>
            <w:r w:rsidRPr="00E46AE9">
              <w:rPr>
                <w:rFonts w:ascii="Times New Roman" w:hAnsi="Times New Roman"/>
                <w:color w:val="000000" w:themeColor="text1"/>
                <w:sz w:val="24"/>
                <w:szCs w:val="24"/>
              </w:rPr>
              <w:lastRenderedPageBreak/>
              <w:t>chính, nếu người vi phạm xuất trình được bản chính các giấy tờ hoặc bản sao giấy chứng nhận đăng ký phương tiện, kèm theo bản gốc Giấy biên nhận của tổ chức tín dụng còn hiệu lực trong trường hợp phương tiện là tài sản bảo đảm thực hiện nghĩa vụ thì người có thẩm quyền ra quyết định xử phạt về hành vi không mang theo giấy tờ, không xử phạt về hành vi không có giấy tờ.</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6882FC47" w14:textId="2348405B" w:rsidR="00902C69" w:rsidRPr="006761AF" w:rsidRDefault="00902C69" w:rsidP="006A18EE">
            <w:pPr>
              <w:spacing w:before="80" w:after="120" w:line="288" w:lineRule="auto"/>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lastRenderedPageBreak/>
              <w:t>Đề nghị giữ nguyên như dự thảo vì:</w:t>
            </w:r>
          </w:p>
          <w:p w14:paraId="68AE41D3" w14:textId="77777777" w:rsidR="00902C69" w:rsidRPr="006761AF" w:rsidRDefault="00902C69" w:rsidP="006A18EE">
            <w:pPr>
              <w:spacing w:before="80" w:after="120" w:line="288" w:lineRule="auto"/>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t xml:space="preserve">Điều 58 Luật xử lý VPHC 2020 quy định: Khi phát hiện hành vi VPHC thuộc lĩnh vực của </w:t>
            </w:r>
            <w:r w:rsidRPr="006761AF">
              <w:rPr>
                <w:rFonts w:ascii="Times New Roman" w:hAnsi="Times New Roman"/>
                <w:color w:val="000000" w:themeColor="text1"/>
                <w:sz w:val="24"/>
                <w:szCs w:val="24"/>
              </w:rPr>
              <w:lastRenderedPageBreak/>
              <w:t xml:space="preserve">mình, người có thẩm quyền đang thi hành công vụ phải kịp thời lập biên bản VPHC </w:t>
            </w:r>
          </w:p>
          <w:p w14:paraId="3A3F2CCC" w14:textId="230BAD72" w:rsidR="00902C69" w:rsidRPr="006761AF" w:rsidRDefault="00902C69" w:rsidP="006A18EE">
            <w:pPr>
              <w:spacing w:before="80" w:after="120" w:line="288" w:lineRule="auto"/>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t>Điểm a, khoản 4, Điều 12, NĐ 68/2025/ NĐ- CP ngày 18/3/2025 của CP quy định sửa</w:t>
            </w:r>
            <w:r w:rsidR="006761AF">
              <w:rPr>
                <w:rFonts w:ascii="Times New Roman" w:hAnsi="Times New Roman"/>
                <w:color w:val="000000" w:themeColor="text1"/>
                <w:sz w:val="24"/>
                <w:szCs w:val="24"/>
              </w:rPr>
              <w:t xml:space="preserve"> đổi, bổ sung một số điều của Nghị định số </w:t>
            </w:r>
            <w:r w:rsidRPr="006761AF">
              <w:rPr>
                <w:rFonts w:ascii="Times New Roman" w:hAnsi="Times New Roman"/>
                <w:color w:val="000000" w:themeColor="text1"/>
                <w:sz w:val="24"/>
                <w:szCs w:val="24"/>
              </w:rPr>
              <w:t xml:space="preserve">118/2021/NĐ- CP ngày 23/12/2021 quy định chi tiết một số điều và biện pháp thi hành Luật xử lý VPHC: Biên bản VPHC được lập trong thời hạn (03) ngày làm việc kể từ khi phát hiện VPHC </w:t>
            </w:r>
          </w:p>
          <w:p w14:paraId="24A662B5" w14:textId="6D212F32" w:rsidR="00902C69" w:rsidRPr="006761AF" w:rsidRDefault="00902C69" w:rsidP="006A18EE">
            <w:pPr>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t>Thời gian này chính là thời hạn cá nhân, tổ chức vi phạm phải chứng minh mình không vi phạm hành chính (điểm đ, khoản 1, điều 3, Luật xử lý VPHC) và có quyền được giải trình;</w:t>
            </w:r>
          </w:p>
          <w:p w14:paraId="1E257B78" w14:textId="2D1C9351" w:rsidR="00902C69" w:rsidRPr="006761AF" w:rsidRDefault="00902C69" w:rsidP="006A18EE">
            <w:pPr>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t>Nếu cá nhân, tổ chức vi phạm không chứng minh được mình không vi phạm hành chính thì người có thẩm quyền đang thi hành công vụ căn cứ Điều 66, 67 của Luật xử lý VPHC để ban hành quyết định xử phạt VPHC.</w:t>
            </w:r>
          </w:p>
          <w:p w14:paraId="47089388" w14:textId="35B67CF1" w:rsidR="00902C69" w:rsidRPr="006761AF" w:rsidRDefault="00902C69" w:rsidP="006A18EE">
            <w:pPr>
              <w:spacing w:before="80" w:after="120" w:line="288" w:lineRule="auto"/>
              <w:jc w:val="both"/>
              <w:rPr>
                <w:rFonts w:ascii="Times New Roman" w:hAnsi="Times New Roman"/>
                <w:color w:val="000000" w:themeColor="text1"/>
                <w:sz w:val="24"/>
                <w:szCs w:val="24"/>
              </w:rPr>
            </w:pPr>
          </w:p>
        </w:tc>
      </w:tr>
      <w:tr w:rsidR="00E46AE9" w:rsidRPr="00E46AE9" w14:paraId="542871EA"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204C7F4" w14:textId="77777777" w:rsidR="00902C69" w:rsidRPr="00E46AE9" w:rsidRDefault="00902C69" w:rsidP="006A18EE">
            <w:pPr>
              <w:jc w:val="both"/>
              <w:rPr>
                <w:rFonts w:ascii="Times New Roman" w:hAnsi="Times New Roman"/>
                <w:color w:val="000000" w:themeColor="text1"/>
                <w:sz w:val="24"/>
                <w:szCs w:val="24"/>
              </w:rPr>
            </w:pPr>
          </w:p>
        </w:tc>
        <w:tc>
          <w:tcPr>
            <w:tcW w:w="658" w:type="pct"/>
            <w:vMerge/>
            <w:tcBorders>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C77B69A" w14:textId="77777777" w:rsidR="00902C69" w:rsidRPr="00E46AE9" w:rsidRDefault="00902C69" w:rsidP="006A18EE">
            <w:pPr>
              <w:jc w:val="both"/>
              <w:rPr>
                <w:rFonts w:ascii="Times New Roman" w:hAnsi="Times New Roman"/>
                <w:color w:val="000000" w:themeColor="text1"/>
                <w:sz w:val="24"/>
                <w:szCs w:val="24"/>
              </w:rPr>
            </w:pP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A405CA1" w14:textId="77777777" w:rsidR="00902C69" w:rsidRPr="00E46AE9" w:rsidRDefault="00902C69" w:rsidP="006A18EE">
            <w:pPr>
              <w:jc w:val="both"/>
              <w:rPr>
                <w:rFonts w:ascii="Times New Roman" w:hAnsi="Times New Roman"/>
                <w:noProof w:val="0"/>
                <w:color w:val="000000" w:themeColor="text1"/>
                <w:sz w:val="24"/>
                <w:szCs w:val="24"/>
              </w:rPr>
            </w:pPr>
            <w:r w:rsidRPr="00E46AE9">
              <w:rPr>
                <w:rFonts w:ascii="Times New Roman" w:hAnsi="Times New Roman"/>
                <w:color w:val="000000" w:themeColor="text1"/>
                <w:sz w:val="24"/>
                <w:szCs w:val="24"/>
              </w:rPr>
              <w:t>Tại khoản 2 Điều 56a quy định về tạm giữ hoặc tước quyền sử dụng giấy tờ trên môi trường điện tử, đề nghị nghiên cứu, bổ sung quy định rõ trách nhiệm, thẩm quyền truy cập, cập nhật, kiểm tra hệ thống, đồng bộ dữ liệu để tránh xung đột thẩm quyền giữa các cơ quan có liên quan trong kiểm tra, kiểm soát, xử lý vi phạm hành chính trong lĩnh vực giao thông đường thủy nội địa như: lực lượng Công an nhân dân, Thanh tra Sở Xây dựng và Cục Hàng hải và Đường thủy Việt Nam...</w:t>
            </w:r>
          </w:p>
          <w:p w14:paraId="122E83ED"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Ngoài ra, Điều 56a quy định về kiểm tra, kiểm soát, xử lý vi phạm hành chính trên môi trường điện tử nhưng không đề </w:t>
            </w:r>
            <w:r w:rsidRPr="00E46AE9">
              <w:rPr>
                <w:rFonts w:ascii="Times New Roman" w:hAnsi="Times New Roman"/>
                <w:color w:val="000000" w:themeColor="text1"/>
                <w:sz w:val="24"/>
                <w:szCs w:val="24"/>
              </w:rPr>
              <w:lastRenderedPageBreak/>
              <w:t>cập tình huống hệ thống bị gián đoạn, gây khó khăn cho thực thi tại hiện trường.</w:t>
            </w:r>
          </w:p>
          <w:p w14:paraId="17A51F6B" w14:textId="1D87E342"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Bộ Xây dựng nghiên cứu, bổ sung quy định quy trình cụ thể theo hướng trong </w:t>
            </w:r>
            <w:r w:rsidRPr="001405E7">
              <w:rPr>
                <w:rFonts w:ascii="Times New Roman" w:hAnsi="Times New Roman"/>
                <w:sz w:val="24"/>
              </w:rPr>
              <w:t>trường hợp hệ thống không truy cập được, người có thẩm quyền lập biên bản giấy và cập nhật lại sau khi hệ thống hoạt động bình thường.</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4B30DE2" w14:textId="6203975F" w:rsidR="00902C69" w:rsidRPr="006761AF" w:rsidRDefault="001405E7" w:rsidP="006A18EE">
            <w:pPr>
              <w:spacing w:before="80" w:after="120" w:line="288" w:lineRule="auto"/>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lastRenderedPageBreak/>
              <w:t xml:space="preserve">Hiện nay, Bộ Tư pháp đang được giao chủ trì soạn thảo </w:t>
            </w:r>
            <w:r w:rsidRPr="006761AF">
              <w:rPr>
                <w:rFonts w:ascii="Times New Roman" w:hAnsi="Times New Roman"/>
                <w:sz w:val="24"/>
                <w:szCs w:val="24"/>
              </w:rPr>
              <w:t xml:space="preserve">Nghị định sửa đổi, bổ sung một số điều của Nghị định số 118/2021/NĐ-CP ngày 23/12/2021 của Chính phủ quy định chi tiết một số điều và biện pháp thi hành Luật Xử lý vi phạm hành chính (được sửa đổi, bổ sung bởi Nghị định số 68/2025/NĐ-CP), trong đó, sửa đổi, bổ sung quy định chi tiết về xử phạt vi phạm hành chính trên môi trường điện tử. Do vậy, các nội dung cụ </w:t>
            </w:r>
            <w:r w:rsidRPr="006761AF">
              <w:rPr>
                <w:rFonts w:ascii="Times New Roman" w:hAnsi="Times New Roman"/>
                <w:sz w:val="24"/>
                <w:szCs w:val="24"/>
              </w:rPr>
              <w:lastRenderedPageBreak/>
              <w:t>thể về cách thức thực hiện, Cục HHĐTVN sẽ sửa đồng thời sau khi Nghị định trên được ban hành để thống nhất</w:t>
            </w:r>
          </w:p>
        </w:tc>
      </w:tr>
      <w:tr w:rsidR="00E46AE9" w:rsidRPr="00E46AE9" w14:paraId="288B5E6B"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5DE3F3FA"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E768350" w14:textId="77777777" w:rsidR="00FF0259" w:rsidRPr="00E46AE9" w:rsidRDefault="00FF025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Bộ Tư pháp</w:t>
            </w:r>
          </w:p>
          <w:p w14:paraId="0D13AB12" w14:textId="60BC2F7C" w:rsidR="00FF025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Bình Dương</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4F746A91"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Tại khoản 1 Điều 2 dự thảo Nghị định sửa đổi khoản 1 Điều 55 Nghị định số 139/2021/NĐ-CP ngày 31/12/2021 của Chính phủ có nội dung: </w:t>
            </w:r>
            <w:r w:rsidRPr="00E46AE9">
              <w:rPr>
                <w:rFonts w:ascii="Times New Roman" w:hAnsi="Times New Roman"/>
                <w:i/>
                <w:color w:val="000000" w:themeColor="text1"/>
                <w:sz w:val="24"/>
                <w:szCs w:val="24"/>
              </w:rPr>
              <w:t>“… Trong thời hạn ra quyết định xử phạt vi phạm hành chính, nếu người vi phạm xuất trình được bản chính các giấy tờ hoặc bản sao giấy chứng nhận đăng ký phương tiện, kèm theo bản gốc Giấy biên nhận của tổ chức tín dụng còn hiệu lực trong trường hợp phương tiện là tài sản bảo đảm thực hiện nghĩa vụ thì người có thẩm quyền ra quyết định xử phạt về hành vi không mang theo giấy tờ và phải lưu lại bản sao giấy tờ đó trong hồ sơ xử phạt vi phạm hành chính.”</w:t>
            </w:r>
            <w:r w:rsidRPr="00E46AE9">
              <w:rPr>
                <w:rFonts w:ascii="Times New Roman" w:hAnsi="Times New Roman"/>
                <w:color w:val="000000" w:themeColor="text1"/>
                <w:sz w:val="24"/>
                <w:szCs w:val="24"/>
              </w:rPr>
              <w:t xml:space="preserve">. </w:t>
            </w:r>
          </w:p>
          <w:p w14:paraId="46967E92" w14:textId="4029122B"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nhận thấy nội dung quy định tại dự thảo chưa thống nhất với nội dung tổng hợp tại Bảng so sánh đối chiếu giữa Nghị định cũ và sau sửa đổi, bổ sung, đề nghị Ban soạn thảo rà soát, cập nhật đồng bộ.</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6828740" w14:textId="4B947850" w:rsidR="00902C69" w:rsidRPr="006761AF" w:rsidRDefault="00902C69" w:rsidP="006A18EE">
            <w:pPr>
              <w:jc w:val="both"/>
              <w:rPr>
                <w:rFonts w:ascii="Times New Roman" w:hAnsi="Times New Roman"/>
                <w:color w:val="000000" w:themeColor="text1"/>
                <w:sz w:val="24"/>
                <w:szCs w:val="24"/>
              </w:rPr>
            </w:pPr>
            <w:r w:rsidRPr="006761AF">
              <w:rPr>
                <w:rFonts w:ascii="Times New Roman" w:hAnsi="Times New Roman"/>
                <w:color w:val="000000" w:themeColor="text1"/>
                <w:sz w:val="24"/>
                <w:szCs w:val="24"/>
              </w:rPr>
              <w:t>Tiếp thu và chỉnh sửa</w:t>
            </w:r>
          </w:p>
        </w:tc>
      </w:tr>
      <w:tr w:rsidR="00E46AE9" w:rsidRPr="00E46AE9" w14:paraId="582535A6"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AC4EAA7" w14:textId="139850AF"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D4498E1" w14:textId="77777777" w:rsidR="00902C6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Pháp chế</w:t>
            </w:r>
          </w:p>
          <w:p w14:paraId="4BA9F57C" w14:textId="77777777" w:rsidR="0006221E" w:rsidRDefault="0006221E" w:rsidP="006A18EE">
            <w:pPr>
              <w:jc w:val="both"/>
              <w:rPr>
                <w:rFonts w:ascii="Times New Roman" w:hAnsi="Times New Roman"/>
                <w:color w:val="000000" w:themeColor="text1"/>
                <w:sz w:val="24"/>
                <w:szCs w:val="24"/>
              </w:rPr>
            </w:pPr>
          </w:p>
          <w:p w14:paraId="523B78BA" w14:textId="77777777" w:rsidR="0006221E" w:rsidRDefault="0006221E" w:rsidP="006A18EE">
            <w:pPr>
              <w:jc w:val="both"/>
              <w:rPr>
                <w:rFonts w:ascii="Times New Roman" w:hAnsi="Times New Roman"/>
                <w:color w:val="000000" w:themeColor="text1"/>
                <w:sz w:val="24"/>
                <w:szCs w:val="24"/>
              </w:rPr>
            </w:pPr>
          </w:p>
          <w:p w14:paraId="4E9359E0" w14:textId="77777777" w:rsidR="0006221E" w:rsidRDefault="0006221E" w:rsidP="006A18EE">
            <w:pPr>
              <w:jc w:val="both"/>
              <w:rPr>
                <w:rFonts w:ascii="Times New Roman" w:hAnsi="Times New Roman"/>
                <w:color w:val="000000" w:themeColor="text1"/>
                <w:sz w:val="24"/>
                <w:szCs w:val="24"/>
              </w:rPr>
            </w:pPr>
          </w:p>
          <w:p w14:paraId="05EBCC35" w14:textId="77777777" w:rsidR="0006221E" w:rsidRDefault="0006221E" w:rsidP="006A18EE">
            <w:pPr>
              <w:jc w:val="both"/>
              <w:rPr>
                <w:rFonts w:ascii="Times New Roman" w:hAnsi="Times New Roman"/>
                <w:color w:val="000000" w:themeColor="text1"/>
                <w:sz w:val="24"/>
                <w:szCs w:val="24"/>
              </w:rPr>
            </w:pPr>
          </w:p>
          <w:p w14:paraId="4205BAF6" w14:textId="77777777" w:rsidR="0006221E" w:rsidRDefault="0006221E" w:rsidP="006A18EE">
            <w:pPr>
              <w:jc w:val="both"/>
              <w:rPr>
                <w:rFonts w:ascii="Times New Roman" w:hAnsi="Times New Roman"/>
                <w:color w:val="000000" w:themeColor="text1"/>
                <w:sz w:val="24"/>
                <w:szCs w:val="24"/>
              </w:rPr>
            </w:pPr>
          </w:p>
          <w:p w14:paraId="70E24190" w14:textId="77777777" w:rsidR="0006221E" w:rsidRDefault="0006221E" w:rsidP="006A18EE">
            <w:pPr>
              <w:jc w:val="both"/>
              <w:rPr>
                <w:rFonts w:ascii="Times New Roman" w:hAnsi="Times New Roman"/>
                <w:color w:val="000000" w:themeColor="text1"/>
                <w:sz w:val="24"/>
                <w:szCs w:val="24"/>
              </w:rPr>
            </w:pPr>
          </w:p>
          <w:p w14:paraId="32FA151E" w14:textId="77777777" w:rsidR="0006221E" w:rsidRDefault="0006221E" w:rsidP="006A18EE">
            <w:pPr>
              <w:jc w:val="both"/>
              <w:rPr>
                <w:rFonts w:ascii="Times New Roman" w:hAnsi="Times New Roman"/>
                <w:color w:val="000000" w:themeColor="text1"/>
                <w:sz w:val="24"/>
                <w:szCs w:val="24"/>
              </w:rPr>
            </w:pPr>
          </w:p>
          <w:p w14:paraId="3F08F7A4" w14:textId="77777777" w:rsidR="0006221E" w:rsidRDefault="0006221E" w:rsidP="006A18EE">
            <w:pPr>
              <w:jc w:val="both"/>
              <w:rPr>
                <w:rFonts w:ascii="Times New Roman" w:hAnsi="Times New Roman"/>
                <w:color w:val="000000" w:themeColor="text1"/>
                <w:sz w:val="24"/>
                <w:szCs w:val="24"/>
              </w:rPr>
            </w:pPr>
          </w:p>
          <w:p w14:paraId="56111CF4" w14:textId="77777777" w:rsidR="0006221E" w:rsidRDefault="0006221E" w:rsidP="006A18EE">
            <w:pPr>
              <w:jc w:val="both"/>
              <w:rPr>
                <w:rFonts w:ascii="Times New Roman" w:hAnsi="Times New Roman"/>
                <w:color w:val="000000" w:themeColor="text1"/>
                <w:sz w:val="24"/>
                <w:szCs w:val="24"/>
              </w:rPr>
            </w:pPr>
          </w:p>
          <w:p w14:paraId="69909654" w14:textId="77777777" w:rsidR="0006221E" w:rsidRDefault="0006221E" w:rsidP="006A18EE">
            <w:pPr>
              <w:jc w:val="both"/>
              <w:rPr>
                <w:rFonts w:ascii="Times New Roman" w:hAnsi="Times New Roman"/>
                <w:color w:val="000000" w:themeColor="text1"/>
                <w:sz w:val="24"/>
                <w:szCs w:val="24"/>
              </w:rPr>
            </w:pPr>
          </w:p>
          <w:p w14:paraId="6AE3FE9D" w14:textId="77777777" w:rsidR="0006221E" w:rsidRDefault="0006221E" w:rsidP="006A18EE">
            <w:pPr>
              <w:jc w:val="both"/>
              <w:rPr>
                <w:rFonts w:ascii="Times New Roman" w:hAnsi="Times New Roman"/>
                <w:color w:val="000000" w:themeColor="text1"/>
                <w:sz w:val="24"/>
                <w:szCs w:val="24"/>
              </w:rPr>
            </w:pPr>
          </w:p>
          <w:p w14:paraId="26CD7CF5" w14:textId="77777777" w:rsidR="0006221E" w:rsidRDefault="0006221E" w:rsidP="006A18EE">
            <w:pPr>
              <w:jc w:val="both"/>
              <w:rPr>
                <w:rFonts w:ascii="Times New Roman" w:hAnsi="Times New Roman"/>
                <w:color w:val="000000" w:themeColor="text1"/>
                <w:sz w:val="24"/>
                <w:szCs w:val="24"/>
              </w:rPr>
            </w:pPr>
          </w:p>
          <w:p w14:paraId="343F7A27" w14:textId="77777777" w:rsidR="0006221E" w:rsidRDefault="0006221E" w:rsidP="006A18EE">
            <w:pPr>
              <w:jc w:val="both"/>
              <w:rPr>
                <w:rFonts w:ascii="Times New Roman" w:hAnsi="Times New Roman"/>
                <w:color w:val="000000" w:themeColor="text1"/>
                <w:sz w:val="24"/>
                <w:szCs w:val="24"/>
              </w:rPr>
            </w:pPr>
          </w:p>
          <w:p w14:paraId="023DF806" w14:textId="77777777" w:rsidR="0006221E" w:rsidRDefault="0006221E" w:rsidP="006A18EE">
            <w:pPr>
              <w:jc w:val="both"/>
              <w:rPr>
                <w:rFonts w:ascii="Times New Roman" w:hAnsi="Times New Roman"/>
                <w:color w:val="000000" w:themeColor="text1"/>
                <w:sz w:val="24"/>
                <w:szCs w:val="24"/>
              </w:rPr>
            </w:pPr>
          </w:p>
          <w:p w14:paraId="1E60A718" w14:textId="77777777" w:rsidR="0006221E" w:rsidRDefault="0006221E" w:rsidP="006A18EE">
            <w:pPr>
              <w:jc w:val="both"/>
              <w:rPr>
                <w:rFonts w:ascii="Times New Roman" w:hAnsi="Times New Roman"/>
                <w:color w:val="000000" w:themeColor="text1"/>
                <w:sz w:val="24"/>
                <w:szCs w:val="24"/>
              </w:rPr>
            </w:pPr>
          </w:p>
          <w:p w14:paraId="7CF6FDF0" w14:textId="77777777" w:rsidR="0006221E" w:rsidRDefault="0006221E" w:rsidP="006A18EE">
            <w:pPr>
              <w:jc w:val="both"/>
              <w:rPr>
                <w:rFonts w:ascii="Times New Roman" w:hAnsi="Times New Roman"/>
                <w:color w:val="000000" w:themeColor="text1"/>
                <w:sz w:val="24"/>
                <w:szCs w:val="24"/>
              </w:rPr>
            </w:pPr>
          </w:p>
          <w:p w14:paraId="2A78D634" w14:textId="77777777" w:rsidR="0006221E" w:rsidRDefault="0006221E" w:rsidP="006A18EE">
            <w:pPr>
              <w:jc w:val="both"/>
              <w:rPr>
                <w:rFonts w:ascii="Times New Roman" w:hAnsi="Times New Roman"/>
                <w:color w:val="000000" w:themeColor="text1"/>
                <w:sz w:val="24"/>
                <w:szCs w:val="24"/>
              </w:rPr>
            </w:pPr>
          </w:p>
          <w:p w14:paraId="78BE3FA9" w14:textId="77777777" w:rsidR="0006221E" w:rsidRDefault="0006221E" w:rsidP="006A18EE">
            <w:pPr>
              <w:jc w:val="both"/>
              <w:rPr>
                <w:rFonts w:ascii="Times New Roman" w:hAnsi="Times New Roman"/>
                <w:color w:val="000000" w:themeColor="text1"/>
                <w:sz w:val="24"/>
                <w:szCs w:val="24"/>
              </w:rPr>
            </w:pPr>
          </w:p>
          <w:p w14:paraId="359D2E22" w14:textId="77777777" w:rsidR="0006221E" w:rsidRDefault="0006221E" w:rsidP="006A18EE">
            <w:pPr>
              <w:jc w:val="both"/>
              <w:rPr>
                <w:rFonts w:ascii="Times New Roman" w:hAnsi="Times New Roman"/>
                <w:color w:val="000000" w:themeColor="text1"/>
                <w:sz w:val="24"/>
                <w:szCs w:val="24"/>
              </w:rPr>
            </w:pPr>
          </w:p>
          <w:p w14:paraId="69FF8C04" w14:textId="77777777" w:rsidR="0006221E" w:rsidRDefault="0006221E" w:rsidP="006A18EE">
            <w:pPr>
              <w:jc w:val="both"/>
              <w:rPr>
                <w:rFonts w:ascii="Times New Roman" w:hAnsi="Times New Roman"/>
                <w:color w:val="000000" w:themeColor="text1"/>
                <w:sz w:val="24"/>
                <w:szCs w:val="24"/>
              </w:rPr>
            </w:pPr>
          </w:p>
          <w:p w14:paraId="0BAB621A" w14:textId="77777777" w:rsidR="0006221E" w:rsidRDefault="0006221E" w:rsidP="006A18EE">
            <w:pPr>
              <w:jc w:val="both"/>
              <w:rPr>
                <w:rFonts w:ascii="Times New Roman" w:hAnsi="Times New Roman"/>
                <w:color w:val="000000" w:themeColor="text1"/>
                <w:sz w:val="24"/>
                <w:szCs w:val="24"/>
              </w:rPr>
            </w:pPr>
          </w:p>
          <w:p w14:paraId="48DF4175" w14:textId="77777777" w:rsidR="0006221E" w:rsidRDefault="0006221E" w:rsidP="006A18EE">
            <w:pPr>
              <w:jc w:val="both"/>
              <w:rPr>
                <w:rFonts w:ascii="Times New Roman" w:hAnsi="Times New Roman"/>
                <w:color w:val="000000" w:themeColor="text1"/>
                <w:sz w:val="24"/>
                <w:szCs w:val="24"/>
              </w:rPr>
            </w:pPr>
          </w:p>
          <w:p w14:paraId="37DF0051" w14:textId="77777777" w:rsidR="0006221E" w:rsidRDefault="0006221E" w:rsidP="006A18EE">
            <w:pPr>
              <w:jc w:val="both"/>
              <w:rPr>
                <w:rFonts w:ascii="Times New Roman" w:hAnsi="Times New Roman"/>
                <w:color w:val="000000" w:themeColor="text1"/>
                <w:sz w:val="24"/>
                <w:szCs w:val="24"/>
              </w:rPr>
            </w:pPr>
          </w:p>
          <w:p w14:paraId="011C02F7" w14:textId="77777777" w:rsidR="0006221E" w:rsidRDefault="0006221E" w:rsidP="006A18EE">
            <w:pPr>
              <w:jc w:val="both"/>
              <w:rPr>
                <w:rFonts w:ascii="Times New Roman" w:hAnsi="Times New Roman"/>
                <w:color w:val="000000" w:themeColor="text1"/>
                <w:sz w:val="24"/>
                <w:szCs w:val="24"/>
              </w:rPr>
            </w:pPr>
          </w:p>
          <w:p w14:paraId="2AAA618C" w14:textId="77777777" w:rsidR="0006221E" w:rsidRDefault="0006221E" w:rsidP="006A18EE">
            <w:pPr>
              <w:jc w:val="both"/>
              <w:rPr>
                <w:rFonts w:ascii="Times New Roman" w:hAnsi="Times New Roman"/>
                <w:color w:val="000000" w:themeColor="text1"/>
                <w:sz w:val="24"/>
                <w:szCs w:val="24"/>
              </w:rPr>
            </w:pPr>
          </w:p>
          <w:p w14:paraId="656D0AF4" w14:textId="77777777" w:rsidR="0006221E" w:rsidRDefault="0006221E" w:rsidP="006A18EE">
            <w:pPr>
              <w:jc w:val="both"/>
              <w:rPr>
                <w:rFonts w:ascii="Times New Roman" w:hAnsi="Times New Roman"/>
                <w:color w:val="000000" w:themeColor="text1"/>
                <w:sz w:val="24"/>
                <w:szCs w:val="24"/>
              </w:rPr>
            </w:pPr>
          </w:p>
          <w:p w14:paraId="234A28D8" w14:textId="77777777" w:rsidR="0006221E" w:rsidRDefault="0006221E" w:rsidP="006A18EE">
            <w:pPr>
              <w:jc w:val="both"/>
              <w:rPr>
                <w:rFonts w:ascii="Times New Roman" w:hAnsi="Times New Roman"/>
                <w:color w:val="000000" w:themeColor="text1"/>
                <w:sz w:val="24"/>
                <w:szCs w:val="24"/>
              </w:rPr>
            </w:pPr>
          </w:p>
          <w:p w14:paraId="6F0D9B5E" w14:textId="77777777" w:rsidR="0006221E" w:rsidRDefault="0006221E" w:rsidP="006A18EE">
            <w:pPr>
              <w:jc w:val="both"/>
              <w:rPr>
                <w:rFonts w:ascii="Times New Roman" w:hAnsi="Times New Roman"/>
                <w:color w:val="000000" w:themeColor="text1"/>
                <w:sz w:val="24"/>
                <w:szCs w:val="24"/>
              </w:rPr>
            </w:pPr>
          </w:p>
          <w:p w14:paraId="780E4820" w14:textId="77777777" w:rsidR="0006221E" w:rsidRDefault="0006221E" w:rsidP="006A18EE">
            <w:pPr>
              <w:jc w:val="both"/>
              <w:rPr>
                <w:rFonts w:ascii="Times New Roman" w:hAnsi="Times New Roman"/>
                <w:color w:val="000000" w:themeColor="text1"/>
                <w:sz w:val="24"/>
                <w:szCs w:val="24"/>
              </w:rPr>
            </w:pPr>
          </w:p>
          <w:p w14:paraId="56F1F1E1" w14:textId="77777777" w:rsidR="0006221E" w:rsidRDefault="0006221E" w:rsidP="006A18EE">
            <w:pPr>
              <w:jc w:val="both"/>
              <w:rPr>
                <w:rFonts w:ascii="Times New Roman" w:hAnsi="Times New Roman"/>
                <w:color w:val="000000" w:themeColor="text1"/>
                <w:sz w:val="24"/>
                <w:szCs w:val="24"/>
              </w:rPr>
            </w:pPr>
          </w:p>
          <w:p w14:paraId="1AD92121" w14:textId="77777777" w:rsidR="0006221E" w:rsidRDefault="0006221E" w:rsidP="006A18EE">
            <w:pPr>
              <w:jc w:val="both"/>
              <w:rPr>
                <w:rFonts w:ascii="Times New Roman" w:hAnsi="Times New Roman"/>
                <w:color w:val="000000" w:themeColor="text1"/>
                <w:sz w:val="24"/>
                <w:szCs w:val="24"/>
              </w:rPr>
            </w:pPr>
          </w:p>
          <w:p w14:paraId="16D8A10B" w14:textId="77777777" w:rsidR="0006221E" w:rsidRDefault="0006221E" w:rsidP="006A18EE">
            <w:pPr>
              <w:jc w:val="both"/>
              <w:rPr>
                <w:rFonts w:ascii="Times New Roman" w:hAnsi="Times New Roman"/>
                <w:color w:val="000000" w:themeColor="text1"/>
                <w:sz w:val="24"/>
                <w:szCs w:val="24"/>
              </w:rPr>
            </w:pPr>
          </w:p>
          <w:p w14:paraId="0FA6E35D" w14:textId="77777777" w:rsidR="0006221E" w:rsidRDefault="0006221E" w:rsidP="006A18EE">
            <w:pPr>
              <w:jc w:val="both"/>
              <w:rPr>
                <w:rFonts w:ascii="Times New Roman" w:hAnsi="Times New Roman"/>
                <w:color w:val="000000" w:themeColor="text1"/>
                <w:sz w:val="24"/>
                <w:szCs w:val="24"/>
              </w:rPr>
            </w:pPr>
          </w:p>
          <w:p w14:paraId="106D1B63" w14:textId="77777777" w:rsidR="0006221E" w:rsidRDefault="0006221E" w:rsidP="006A18EE">
            <w:pPr>
              <w:jc w:val="both"/>
              <w:rPr>
                <w:rFonts w:ascii="Times New Roman" w:hAnsi="Times New Roman"/>
                <w:color w:val="000000" w:themeColor="text1"/>
                <w:sz w:val="24"/>
                <w:szCs w:val="24"/>
              </w:rPr>
            </w:pPr>
          </w:p>
          <w:p w14:paraId="44C06C12" w14:textId="77777777" w:rsidR="0006221E" w:rsidRDefault="0006221E" w:rsidP="006A18EE">
            <w:pPr>
              <w:jc w:val="both"/>
              <w:rPr>
                <w:rFonts w:ascii="Times New Roman" w:hAnsi="Times New Roman"/>
                <w:color w:val="000000" w:themeColor="text1"/>
                <w:sz w:val="24"/>
                <w:szCs w:val="24"/>
              </w:rPr>
            </w:pPr>
          </w:p>
          <w:p w14:paraId="24FED6D7" w14:textId="77777777" w:rsidR="0006221E" w:rsidRDefault="0006221E" w:rsidP="006A18EE">
            <w:pPr>
              <w:jc w:val="both"/>
              <w:rPr>
                <w:rFonts w:ascii="Times New Roman" w:hAnsi="Times New Roman"/>
                <w:color w:val="000000" w:themeColor="text1"/>
                <w:sz w:val="24"/>
                <w:szCs w:val="24"/>
              </w:rPr>
            </w:pPr>
          </w:p>
          <w:p w14:paraId="5F84C9F3" w14:textId="77777777" w:rsidR="0006221E" w:rsidRDefault="0006221E" w:rsidP="006A18EE">
            <w:pPr>
              <w:jc w:val="both"/>
              <w:rPr>
                <w:rFonts w:ascii="Times New Roman" w:hAnsi="Times New Roman"/>
                <w:color w:val="000000" w:themeColor="text1"/>
                <w:sz w:val="24"/>
                <w:szCs w:val="24"/>
              </w:rPr>
            </w:pPr>
          </w:p>
          <w:p w14:paraId="044452F0" w14:textId="77777777" w:rsidR="0006221E" w:rsidRDefault="0006221E" w:rsidP="006A18EE">
            <w:pPr>
              <w:jc w:val="both"/>
              <w:rPr>
                <w:rFonts w:ascii="Times New Roman" w:hAnsi="Times New Roman"/>
                <w:color w:val="000000" w:themeColor="text1"/>
                <w:sz w:val="24"/>
                <w:szCs w:val="24"/>
              </w:rPr>
            </w:pPr>
          </w:p>
          <w:p w14:paraId="4C2E64A1" w14:textId="77777777" w:rsidR="0006221E" w:rsidRDefault="0006221E" w:rsidP="006A18EE">
            <w:pPr>
              <w:jc w:val="both"/>
              <w:rPr>
                <w:rFonts w:ascii="Times New Roman" w:hAnsi="Times New Roman"/>
                <w:color w:val="000000" w:themeColor="text1"/>
                <w:sz w:val="24"/>
                <w:szCs w:val="24"/>
              </w:rPr>
            </w:pPr>
          </w:p>
          <w:p w14:paraId="2AD74B1B" w14:textId="77777777" w:rsidR="0006221E" w:rsidRDefault="0006221E" w:rsidP="006A18EE">
            <w:pPr>
              <w:jc w:val="both"/>
              <w:rPr>
                <w:rFonts w:ascii="Times New Roman" w:hAnsi="Times New Roman"/>
                <w:color w:val="000000" w:themeColor="text1"/>
                <w:sz w:val="24"/>
                <w:szCs w:val="24"/>
              </w:rPr>
            </w:pPr>
          </w:p>
          <w:p w14:paraId="206923C0" w14:textId="77777777" w:rsidR="0006221E" w:rsidRDefault="0006221E" w:rsidP="006A18EE">
            <w:pPr>
              <w:jc w:val="both"/>
              <w:rPr>
                <w:rFonts w:ascii="Times New Roman" w:hAnsi="Times New Roman"/>
                <w:color w:val="000000" w:themeColor="text1"/>
                <w:sz w:val="24"/>
                <w:szCs w:val="24"/>
              </w:rPr>
            </w:pPr>
          </w:p>
          <w:p w14:paraId="7C8D4786" w14:textId="77777777" w:rsidR="0006221E" w:rsidRDefault="0006221E" w:rsidP="006A18EE">
            <w:pPr>
              <w:jc w:val="both"/>
              <w:rPr>
                <w:rFonts w:ascii="Times New Roman" w:hAnsi="Times New Roman"/>
                <w:color w:val="000000" w:themeColor="text1"/>
                <w:sz w:val="24"/>
                <w:szCs w:val="24"/>
              </w:rPr>
            </w:pPr>
          </w:p>
          <w:p w14:paraId="08C6A58C" w14:textId="77777777" w:rsidR="0006221E" w:rsidRDefault="0006221E" w:rsidP="006A18EE">
            <w:pPr>
              <w:jc w:val="both"/>
              <w:rPr>
                <w:rFonts w:ascii="Times New Roman" w:hAnsi="Times New Roman"/>
                <w:color w:val="000000" w:themeColor="text1"/>
                <w:sz w:val="24"/>
                <w:szCs w:val="24"/>
              </w:rPr>
            </w:pPr>
          </w:p>
          <w:p w14:paraId="47C990CD" w14:textId="77777777" w:rsidR="0006221E" w:rsidRDefault="0006221E" w:rsidP="006A18EE">
            <w:pPr>
              <w:jc w:val="both"/>
              <w:rPr>
                <w:rFonts w:ascii="Times New Roman" w:hAnsi="Times New Roman"/>
                <w:color w:val="000000" w:themeColor="text1"/>
                <w:sz w:val="24"/>
                <w:szCs w:val="24"/>
              </w:rPr>
            </w:pPr>
          </w:p>
          <w:p w14:paraId="28FCEBC6" w14:textId="1E7CC3F3" w:rsidR="0006221E" w:rsidRDefault="0006221E"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t>Vụ Pháp chế</w:t>
            </w:r>
          </w:p>
          <w:p w14:paraId="2F6ACFDA" w14:textId="6EA817E6" w:rsidR="0006221E" w:rsidRPr="00E46AE9" w:rsidRDefault="0006221E"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t>Bộ Tư pháp</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03EE6D76"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lastRenderedPageBreak/>
              <w:t xml:space="preserve">- Đề nghị làm rõ “các giấy tờ khác (nếu có) theo quy định của pháp luật" là các giấy tờ nào, theo quy định nào để đảm bảo tính rõ ràng khi thực hiện kiểm tra. </w:t>
            </w:r>
          </w:p>
          <w:p w14:paraId="6E831902" w14:textId="77777777" w:rsidR="00902C69" w:rsidRPr="001405E7" w:rsidRDefault="00902C69" w:rsidP="006A18EE">
            <w:pPr>
              <w:jc w:val="both"/>
              <w:rPr>
                <w:rFonts w:ascii="Times New Roman" w:hAnsi="Times New Roman"/>
                <w:color w:val="000000" w:themeColor="text1"/>
                <w:sz w:val="24"/>
                <w:szCs w:val="24"/>
              </w:rPr>
            </w:pPr>
          </w:p>
          <w:p w14:paraId="36635737" w14:textId="77777777" w:rsidR="00902C69" w:rsidRPr="001405E7" w:rsidRDefault="00902C69" w:rsidP="006A18EE">
            <w:pPr>
              <w:jc w:val="both"/>
              <w:rPr>
                <w:rFonts w:ascii="Times New Roman" w:hAnsi="Times New Roman"/>
                <w:color w:val="000000" w:themeColor="text1"/>
                <w:sz w:val="24"/>
                <w:szCs w:val="24"/>
              </w:rPr>
            </w:pPr>
          </w:p>
          <w:p w14:paraId="1C15ABA1" w14:textId="77777777" w:rsidR="00902C69" w:rsidRPr="001405E7" w:rsidRDefault="00902C69" w:rsidP="006A18EE">
            <w:pPr>
              <w:jc w:val="both"/>
              <w:rPr>
                <w:rFonts w:ascii="Times New Roman" w:hAnsi="Times New Roman"/>
                <w:color w:val="000000" w:themeColor="text1"/>
                <w:sz w:val="24"/>
                <w:szCs w:val="24"/>
              </w:rPr>
            </w:pPr>
          </w:p>
          <w:p w14:paraId="06660061" w14:textId="77777777" w:rsidR="00902C69" w:rsidRPr="001405E7" w:rsidRDefault="00902C69" w:rsidP="006A18EE">
            <w:pPr>
              <w:jc w:val="both"/>
              <w:rPr>
                <w:rFonts w:ascii="Times New Roman" w:hAnsi="Times New Roman"/>
                <w:color w:val="000000" w:themeColor="text1"/>
                <w:sz w:val="24"/>
                <w:szCs w:val="24"/>
              </w:rPr>
            </w:pPr>
          </w:p>
          <w:p w14:paraId="12294842" w14:textId="77777777" w:rsidR="00902C69" w:rsidRPr="001405E7" w:rsidRDefault="00902C69" w:rsidP="006A18EE">
            <w:pPr>
              <w:jc w:val="both"/>
              <w:rPr>
                <w:rFonts w:ascii="Times New Roman" w:hAnsi="Times New Roman"/>
                <w:color w:val="000000" w:themeColor="text1"/>
                <w:sz w:val="24"/>
                <w:szCs w:val="24"/>
              </w:rPr>
            </w:pPr>
          </w:p>
          <w:p w14:paraId="54C5B63C" w14:textId="77777777" w:rsidR="00902C69" w:rsidRPr="001405E7" w:rsidRDefault="00902C69" w:rsidP="006A18EE">
            <w:pPr>
              <w:jc w:val="both"/>
              <w:rPr>
                <w:rFonts w:ascii="Times New Roman" w:hAnsi="Times New Roman"/>
                <w:color w:val="000000" w:themeColor="text1"/>
                <w:sz w:val="24"/>
                <w:szCs w:val="24"/>
              </w:rPr>
            </w:pPr>
          </w:p>
          <w:p w14:paraId="3FED06B8" w14:textId="77777777" w:rsidR="00902C69" w:rsidRPr="001405E7" w:rsidRDefault="00902C69" w:rsidP="006A18EE">
            <w:pPr>
              <w:jc w:val="both"/>
              <w:rPr>
                <w:rFonts w:ascii="Times New Roman" w:hAnsi="Times New Roman"/>
                <w:color w:val="000000" w:themeColor="text1"/>
                <w:sz w:val="24"/>
                <w:szCs w:val="24"/>
              </w:rPr>
            </w:pPr>
          </w:p>
          <w:p w14:paraId="0327A268" w14:textId="77777777" w:rsidR="00902C69" w:rsidRPr="001405E7" w:rsidRDefault="00902C69" w:rsidP="006A18EE">
            <w:pPr>
              <w:jc w:val="both"/>
              <w:rPr>
                <w:rFonts w:ascii="Times New Roman" w:hAnsi="Times New Roman"/>
                <w:color w:val="000000" w:themeColor="text1"/>
                <w:sz w:val="24"/>
                <w:szCs w:val="24"/>
              </w:rPr>
            </w:pPr>
          </w:p>
          <w:p w14:paraId="228E0FED" w14:textId="77777777" w:rsidR="00902C69" w:rsidRPr="001405E7" w:rsidRDefault="00902C69" w:rsidP="006A18EE">
            <w:pPr>
              <w:jc w:val="both"/>
              <w:rPr>
                <w:rFonts w:ascii="Times New Roman" w:hAnsi="Times New Roman"/>
                <w:color w:val="000000" w:themeColor="text1"/>
                <w:sz w:val="24"/>
                <w:szCs w:val="24"/>
              </w:rPr>
            </w:pPr>
          </w:p>
          <w:p w14:paraId="3F05CE04" w14:textId="77777777" w:rsidR="00902C69" w:rsidRPr="001405E7" w:rsidRDefault="00902C69" w:rsidP="006A18EE">
            <w:pPr>
              <w:jc w:val="both"/>
              <w:rPr>
                <w:rFonts w:ascii="Times New Roman" w:hAnsi="Times New Roman"/>
                <w:color w:val="000000" w:themeColor="text1"/>
                <w:sz w:val="24"/>
                <w:szCs w:val="24"/>
              </w:rPr>
            </w:pPr>
          </w:p>
          <w:p w14:paraId="5CBD54E8" w14:textId="77777777" w:rsidR="00902C69" w:rsidRPr="001405E7" w:rsidRDefault="00902C69" w:rsidP="006A18EE">
            <w:pPr>
              <w:jc w:val="both"/>
              <w:rPr>
                <w:rFonts w:ascii="Times New Roman" w:hAnsi="Times New Roman"/>
                <w:color w:val="000000" w:themeColor="text1"/>
                <w:sz w:val="24"/>
                <w:szCs w:val="24"/>
              </w:rPr>
            </w:pPr>
          </w:p>
          <w:p w14:paraId="666F1FDF" w14:textId="77777777" w:rsidR="00902C69" w:rsidRPr="001405E7" w:rsidRDefault="00902C69" w:rsidP="006A18EE">
            <w:pPr>
              <w:jc w:val="both"/>
              <w:rPr>
                <w:rFonts w:ascii="Times New Roman" w:hAnsi="Times New Roman"/>
                <w:color w:val="000000" w:themeColor="text1"/>
                <w:sz w:val="24"/>
                <w:szCs w:val="24"/>
              </w:rPr>
            </w:pPr>
          </w:p>
          <w:p w14:paraId="6CE9F8A5" w14:textId="0B6E788D"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Khoản 2 </w:t>
            </w:r>
          </w:p>
          <w:p w14:paraId="66F4B54B" w14:textId="7D95F0BC"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khoản 1 Điều 56a</w:t>
            </w:r>
          </w:p>
          <w:p w14:paraId="54DBF90D"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Đề nghị xem xét việc quy định "lưu lại bản sao giấy tờ" "lại thời điểm kiểm tra" có phù hợp trong trường hợp thực hiện trên môi trường điện tử </w:t>
            </w:r>
          </w:p>
          <w:p w14:paraId="502694D0" w14:textId="77777777" w:rsidR="00902C69" w:rsidRPr="001405E7" w:rsidRDefault="00902C69" w:rsidP="006A18EE">
            <w:pPr>
              <w:jc w:val="both"/>
              <w:rPr>
                <w:rFonts w:ascii="Times New Roman" w:hAnsi="Times New Roman"/>
                <w:color w:val="000000" w:themeColor="text1"/>
                <w:sz w:val="24"/>
                <w:szCs w:val="24"/>
              </w:rPr>
            </w:pPr>
          </w:p>
          <w:p w14:paraId="7327D17E" w14:textId="77777777" w:rsidR="00902C69" w:rsidRPr="001405E7" w:rsidRDefault="00902C69" w:rsidP="006A18EE">
            <w:pPr>
              <w:jc w:val="both"/>
              <w:rPr>
                <w:rFonts w:ascii="Times New Roman" w:hAnsi="Times New Roman"/>
                <w:color w:val="000000" w:themeColor="text1"/>
                <w:sz w:val="24"/>
                <w:szCs w:val="24"/>
              </w:rPr>
            </w:pPr>
          </w:p>
          <w:p w14:paraId="569FDC92" w14:textId="77777777" w:rsidR="00902C69" w:rsidRPr="001405E7" w:rsidRDefault="00902C69" w:rsidP="006A18EE">
            <w:pPr>
              <w:jc w:val="both"/>
              <w:rPr>
                <w:rFonts w:ascii="Times New Roman" w:hAnsi="Times New Roman"/>
                <w:color w:val="000000" w:themeColor="text1"/>
                <w:sz w:val="24"/>
                <w:szCs w:val="24"/>
              </w:rPr>
            </w:pPr>
          </w:p>
          <w:p w14:paraId="4DDDA767" w14:textId="77777777" w:rsidR="00902C69" w:rsidRPr="001405E7" w:rsidRDefault="00902C69" w:rsidP="006A18EE">
            <w:pPr>
              <w:jc w:val="both"/>
              <w:rPr>
                <w:rFonts w:ascii="Times New Roman" w:hAnsi="Times New Roman"/>
                <w:color w:val="000000" w:themeColor="text1"/>
                <w:sz w:val="24"/>
                <w:szCs w:val="24"/>
              </w:rPr>
            </w:pPr>
          </w:p>
          <w:p w14:paraId="4B6BF681" w14:textId="77777777" w:rsidR="00902C69" w:rsidRPr="001405E7" w:rsidRDefault="00902C69" w:rsidP="006A18EE">
            <w:pPr>
              <w:jc w:val="both"/>
              <w:rPr>
                <w:rFonts w:ascii="Times New Roman" w:hAnsi="Times New Roman"/>
                <w:color w:val="000000" w:themeColor="text1"/>
                <w:sz w:val="24"/>
                <w:szCs w:val="24"/>
              </w:rPr>
            </w:pPr>
          </w:p>
          <w:p w14:paraId="346A776A" w14:textId="77777777" w:rsidR="00902C69" w:rsidRPr="001405E7" w:rsidRDefault="00902C69" w:rsidP="006A18EE">
            <w:pPr>
              <w:jc w:val="both"/>
              <w:rPr>
                <w:rFonts w:ascii="Times New Roman" w:hAnsi="Times New Roman"/>
                <w:color w:val="000000" w:themeColor="text1"/>
                <w:sz w:val="24"/>
                <w:szCs w:val="24"/>
              </w:rPr>
            </w:pPr>
          </w:p>
          <w:p w14:paraId="15EE5CC3"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Đề nghị xem xét việc sử dụng cụm từ "kiểm soát” tại khoản này có phù hợp không do nội dung khoản này dẫn chiếu đến khoản 1 Điều 55 (chỉ có nội dung về kiểm tra)</w:t>
            </w:r>
          </w:p>
          <w:p w14:paraId="7373F6F8" w14:textId="77777777" w:rsidR="00902C69" w:rsidRPr="001405E7" w:rsidRDefault="00902C69" w:rsidP="006A18EE">
            <w:pPr>
              <w:jc w:val="both"/>
              <w:rPr>
                <w:rFonts w:ascii="Times New Roman" w:hAnsi="Times New Roman"/>
                <w:color w:val="000000" w:themeColor="text1"/>
                <w:sz w:val="24"/>
                <w:szCs w:val="24"/>
              </w:rPr>
            </w:pPr>
          </w:p>
          <w:p w14:paraId="74697409"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Khoản 2 Điều 56a</w:t>
            </w:r>
          </w:p>
          <w:p w14:paraId="0C957D40"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Đề nghị rà soát, xem xét việc tịch thu giấy tờ có phải cập nhật trên môi trường điện tử không? </w:t>
            </w:r>
          </w:p>
          <w:p w14:paraId="5DF2BD04"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Đề nghị rà soát, xem xét về thẩm quyền, trách nhiệm cập nhật thông tin trên hệ thống cơ sở dữ liệu xử lý vi phạm hành chính (cá nhân thực hiện) tại dự thảo Nghị định để đảm bảo phù hợp với quy định tại Điều 10 Nghị định số 20/2016/NĐ-CP ngày 30/3/2016 của Chính phủ quy định Cơ sở dữ liệu quốc gia về xử lý vi phạm hành chính (tổ chức thực hiện).</w:t>
            </w:r>
          </w:p>
          <w:p w14:paraId="3A856560" w14:textId="77777777" w:rsidR="00902C69" w:rsidRPr="001405E7" w:rsidRDefault="00902C69" w:rsidP="006A18EE">
            <w:pPr>
              <w:jc w:val="both"/>
              <w:rPr>
                <w:rFonts w:ascii="Times New Roman" w:hAnsi="Times New Roman"/>
                <w:color w:val="000000" w:themeColor="text1"/>
                <w:sz w:val="24"/>
                <w:szCs w:val="24"/>
              </w:rPr>
            </w:pPr>
          </w:p>
          <w:p w14:paraId="2A8EE732" w14:textId="77777777" w:rsidR="00902C69" w:rsidRPr="001405E7" w:rsidRDefault="00902C69" w:rsidP="006A18EE">
            <w:pPr>
              <w:jc w:val="both"/>
              <w:rPr>
                <w:rFonts w:ascii="Times New Roman" w:hAnsi="Times New Roman"/>
                <w:color w:val="000000" w:themeColor="text1"/>
                <w:sz w:val="24"/>
                <w:szCs w:val="24"/>
              </w:rPr>
            </w:pPr>
          </w:p>
          <w:p w14:paraId="47484267" w14:textId="77777777" w:rsidR="00902C69" w:rsidRPr="001405E7" w:rsidRDefault="00902C69" w:rsidP="006A18EE">
            <w:pPr>
              <w:jc w:val="both"/>
              <w:rPr>
                <w:rFonts w:ascii="Times New Roman" w:hAnsi="Times New Roman"/>
                <w:color w:val="000000" w:themeColor="text1"/>
                <w:sz w:val="24"/>
                <w:szCs w:val="24"/>
              </w:rPr>
            </w:pPr>
          </w:p>
          <w:p w14:paraId="576072DA" w14:textId="771C156A"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+Tại khoản 3 Điều 56a: đề nghị bổ sung giải trình, thuyết mình để làm rõ căn cứ, cơ sở của việc bãi bỏ điểm a khoản 1 Điều 21 (mức phạt từ 500.000 đến 1.000.000) mà không phải bãi bỏ điểm c khoản 2 Điều 32 (mức phạt từ 1.000.000 đến 2.000.000) do mức phạt của 02 điểm này khác nhau.</w:t>
            </w:r>
          </w:p>
          <w:p w14:paraId="41A9B6E2" w14:textId="77777777" w:rsidR="00902C69" w:rsidRPr="001405E7" w:rsidRDefault="00902C69" w:rsidP="006A18EE">
            <w:pPr>
              <w:jc w:val="both"/>
              <w:rPr>
                <w:rFonts w:ascii="Times New Roman" w:hAnsi="Times New Roman"/>
                <w:color w:val="000000" w:themeColor="text1"/>
                <w:sz w:val="24"/>
                <w:szCs w:val="24"/>
              </w:rPr>
            </w:pPr>
          </w:p>
          <w:p w14:paraId="2FB4A71A" w14:textId="69271D69" w:rsidR="0006221E" w:rsidRPr="001405E7" w:rsidRDefault="0006221E"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w:t>
            </w:r>
            <w:r w:rsidRPr="001405E7">
              <w:rPr>
                <w:rFonts w:ascii="Times New Roman" w:hAnsi="Times New Roman"/>
                <w:sz w:val="24"/>
                <w:szCs w:val="24"/>
              </w:rPr>
              <w:t>Khoản 3 Điều 2 dự thảo Nghị định bãi bỏ điểm a khoản 1 Điều 21 Nghị định số 139/2021/NĐ-CP2 do có sự trùng lặp hành vi vi phạm với điểm c khoản 2 Điều 32 Nghị định này3. Tuy nhiên, việc quy định như dự thảo Nghị định sẽ dẫn đến việc không xử phạt đối với hành vi không hướng dẫn hành khách sử dụng các thiết bị chữa cháy, dụng cụ cứu sinh, cứu đắm và thoát hiểm của thuyền viên, cơ quan chủ trì soạn thảo rà soát, cân nhắc chỉnh lý nội dung này.</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A6C848F" w14:textId="77777777" w:rsidR="00902C69" w:rsidRPr="001405E7" w:rsidRDefault="00902C69" w:rsidP="006A18EE">
            <w:pPr>
              <w:ind w:firstLineChars="50" w:firstLine="120"/>
              <w:jc w:val="both"/>
              <w:rPr>
                <w:rFonts w:ascii="Times New Roman" w:hAnsi="Times New Roman"/>
                <w:noProof w:val="0"/>
                <w:color w:val="000000" w:themeColor="text1"/>
                <w:sz w:val="24"/>
                <w:szCs w:val="24"/>
              </w:rPr>
            </w:pPr>
            <w:r w:rsidRPr="001405E7">
              <w:rPr>
                <w:rFonts w:ascii="Times New Roman" w:hAnsi="Times New Roman"/>
                <w:color w:val="000000" w:themeColor="text1"/>
                <w:sz w:val="24"/>
                <w:szCs w:val="24"/>
              </w:rPr>
              <w:lastRenderedPageBreak/>
              <w:t>- Làm rõ giấy tờ khác: Ngoài các giấy tờ được tích hợp, cập nhật trong căn cước điện tử, trên Ứng dụng định danh quốc gia, trong cơ sở dữ liệu do Bộ Công an, Bộ Xây dựng quản lý</w:t>
            </w:r>
          </w:p>
          <w:p w14:paraId="50261307" w14:textId="77777777" w:rsidR="00902C69" w:rsidRPr="001405E7" w:rsidRDefault="00902C69" w:rsidP="006A18EE">
            <w:pPr>
              <w:ind w:firstLine="280"/>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VD: Danh sách hành khách (đối với phương tiện vận tải hành khách); Hợp đồng vận chuyển hoặc hóa đơn xuất kho hoặc giấy vận chuyển hàng hóa; Bảo hiểm trách nhiệm dân sự (đối với phương tiện thuộc diện bắt buộc  phải có bảo hiểm trách nhiệm dân sự); Giấy phép vận chuyển hàng hóa nguy hiểm, phương án vận tải hàng hóa nguy hiểm siêu trường, siêu trọng (trường hợp </w:t>
            </w:r>
            <w:r w:rsidRPr="001405E7">
              <w:rPr>
                <w:rFonts w:ascii="Times New Roman" w:hAnsi="Times New Roman"/>
                <w:color w:val="000000" w:themeColor="text1"/>
                <w:sz w:val="24"/>
                <w:szCs w:val="24"/>
              </w:rPr>
              <w:lastRenderedPageBreak/>
              <w:t>phương tiện vận tải hàng hóa nguy hiểm, hàng hóa siêu trường, siêu trọng).</w:t>
            </w:r>
          </w:p>
          <w:p w14:paraId="5FB4CC68"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Việc lưu lại bản sao giấy tờ tại thời điểm kiểm tra là phù hợp vì: Trong trường hợp máy móc, môi trường điện tử bị sự cố không thể vào để kiểm tra được hoặc phục vụ các đoàn thanh tra, kiểm tra, hậu kiểm khi có những sự cố nêu trên.</w:t>
            </w:r>
          </w:p>
          <w:p w14:paraId="36129BF5" w14:textId="77777777" w:rsidR="00902C69" w:rsidRPr="001405E7" w:rsidRDefault="00902C69" w:rsidP="006A18EE">
            <w:pPr>
              <w:jc w:val="both"/>
              <w:rPr>
                <w:rFonts w:ascii="Times New Roman" w:hAnsi="Times New Roman"/>
                <w:color w:val="000000" w:themeColor="text1"/>
                <w:sz w:val="24"/>
                <w:szCs w:val="24"/>
              </w:rPr>
            </w:pPr>
          </w:p>
          <w:p w14:paraId="02F5C83F"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khoản 1 Điều 56a trong dự thảo không có nội dung quy định "lưu lại bản sao giấy tờ" "lại thời điểm kiểm tra". </w:t>
            </w:r>
          </w:p>
          <w:p w14:paraId="2A0FBBE1"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Tiếp thu theo hướng bỏ cụm từ "kiểm soát”.</w:t>
            </w:r>
          </w:p>
          <w:p w14:paraId="38A779E9" w14:textId="77777777" w:rsidR="00902C69" w:rsidRPr="001405E7" w:rsidRDefault="00902C69" w:rsidP="006A18EE">
            <w:pPr>
              <w:jc w:val="both"/>
              <w:rPr>
                <w:rFonts w:ascii="Times New Roman" w:hAnsi="Times New Roman"/>
                <w:color w:val="000000" w:themeColor="text1"/>
                <w:sz w:val="24"/>
                <w:szCs w:val="24"/>
              </w:rPr>
            </w:pPr>
          </w:p>
          <w:p w14:paraId="0BFCC1F4" w14:textId="77777777" w:rsidR="00902C69" w:rsidRPr="001405E7" w:rsidRDefault="00902C69" w:rsidP="006A18EE">
            <w:pPr>
              <w:jc w:val="both"/>
              <w:rPr>
                <w:rFonts w:ascii="Times New Roman" w:hAnsi="Times New Roman"/>
                <w:color w:val="000000" w:themeColor="text1"/>
                <w:sz w:val="24"/>
                <w:szCs w:val="24"/>
              </w:rPr>
            </w:pPr>
          </w:p>
          <w:p w14:paraId="7AA96D1A" w14:textId="77777777" w:rsidR="00902C69" w:rsidRPr="001405E7" w:rsidRDefault="00902C69" w:rsidP="006A18EE">
            <w:pPr>
              <w:jc w:val="both"/>
              <w:rPr>
                <w:rFonts w:ascii="Times New Roman" w:hAnsi="Times New Roman"/>
                <w:color w:val="000000" w:themeColor="text1"/>
                <w:sz w:val="24"/>
                <w:szCs w:val="24"/>
              </w:rPr>
            </w:pPr>
          </w:p>
          <w:p w14:paraId="50CB78E1"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Việc tịch thu giấy tờ không cần thiết phải cập nhật trên môi trường điện tử, bởi vì các loại giấy tờ thuộc đối tượng tịch thu là Giấy tờ giả hoặc hết hạn sử dụng.</w:t>
            </w:r>
          </w:p>
          <w:p w14:paraId="28E92216"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 Đề nghị tiếp thu theo hướng: quy định cơ quan của người có thẩm quyền xử phạt vi phạm hành chính cáo trách nhiệm cập nhậtthông tin trên hệ thống cơ sở dữ liệu xử lý vi phạm hành chính (cá nhân sẽ do cơ quan đơn vị phân công thực hiện)   </w:t>
            </w:r>
          </w:p>
          <w:p w14:paraId="3A285012" w14:textId="77777777" w:rsidR="00902C69" w:rsidRPr="001405E7" w:rsidRDefault="00902C69" w:rsidP="006A18EE">
            <w:pPr>
              <w:jc w:val="both"/>
              <w:rPr>
                <w:rFonts w:ascii="Times New Roman" w:hAnsi="Times New Roman"/>
                <w:color w:val="000000" w:themeColor="text1"/>
                <w:sz w:val="24"/>
                <w:szCs w:val="24"/>
              </w:rPr>
            </w:pPr>
          </w:p>
          <w:p w14:paraId="37949689" w14:textId="77777777" w:rsidR="00902C69" w:rsidRPr="001405E7" w:rsidRDefault="00902C69" w:rsidP="006A18EE">
            <w:pPr>
              <w:jc w:val="both"/>
              <w:rPr>
                <w:rFonts w:ascii="Times New Roman" w:hAnsi="Times New Roman"/>
                <w:color w:val="000000" w:themeColor="text1"/>
                <w:sz w:val="24"/>
                <w:szCs w:val="24"/>
              </w:rPr>
            </w:pPr>
          </w:p>
          <w:p w14:paraId="75D23B2E" w14:textId="77777777" w:rsidR="00902C69" w:rsidRPr="001405E7" w:rsidRDefault="00902C69"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 xml:space="preserve"> </w:t>
            </w:r>
          </w:p>
          <w:p w14:paraId="1D355903" w14:textId="77777777" w:rsidR="0006221E" w:rsidRPr="001405E7" w:rsidRDefault="0006221E" w:rsidP="006A18EE">
            <w:pPr>
              <w:jc w:val="both"/>
              <w:rPr>
                <w:rFonts w:ascii="Times New Roman" w:hAnsi="Times New Roman"/>
                <w:color w:val="000000" w:themeColor="text1"/>
                <w:sz w:val="24"/>
                <w:szCs w:val="24"/>
              </w:rPr>
            </w:pPr>
          </w:p>
          <w:p w14:paraId="22A480F6" w14:textId="77777777" w:rsidR="0006221E" w:rsidRPr="001405E7" w:rsidRDefault="0006221E" w:rsidP="006A18EE">
            <w:pPr>
              <w:jc w:val="both"/>
              <w:rPr>
                <w:rFonts w:ascii="Times New Roman" w:hAnsi="Times New Roman"/>
                <w:color w:val="000000" w:themeColor="text1"/>
                <w:sz w:val="24"/>
                <w:szCs w:val="24"/>
              </w:rPr>
            </w:pPr>
          </w:p>
          <w:p w14:paraId="1BF4320A" w14:textId="77777777" w:rsidR="0006221E" w:rsidRPr="001405E7" w:rsidRDefault="0006221E" w:rsidP="006A18EE">
            <w:pPr>
              <w:jc w:val="both"/>
              <w:rPr>
                <w:rFonts w:ascii="Times New Roman" w:hAnsi="Times New Roman"/>
                <w:color w:val="000000" w:themeColor="text1"/>
                <w:sz w:val="24"/>
                <w:szCs w:val="24"/>
              </w:rPr>
            </w:pPr>
          </w:p>
          <w:p w14:paraId="023066DA" w14:textId="77777777" w:rsidR="0006221E" w:rsidRPr="001405E7" w:rsidRDefault="0006221E" w:rsidP="006A18EE">
            <w:pPr>
              <w:jc w:val="both"/>
              <w:rPr>
                <w:rFonts w:ascii="Times New Roman" w:hAnsi="Times New Roman"/>
                <w:color w:val="000000" w:themeColor="text1"/>
                <w:sz w:val="24"/>
                <w:szCs w:val="24"/>
              </w:rPr>
            </w:pPr>
          </w:p>
          <w:p w14:paraId="407B602B" w14:textId="463119A6" w:rsidR="0006221E" w:rsidRPr="001405E7" w:rsidRDefault="0006221E" w:rsidP="006A18EE">
            <w:pPr>
              <w:jc w:val="both"/>
              <w:rPr>
                <w:rFonts w:ascii="Times New Roman" w:hAnsi="Times New Roman"/>
                <w:color w:val="000000" w:themeColor="text1"/>
                <w:sz w:val="24"/>
                <w:szCs w:val="24"/>
              </w:rPr>
            </w:pPr>
            <w:r w:rsidRPr="001405E7">
              <w:rPr>
                <w:rFonts w:ascii="Times New Roman" w:hAnsi="Times New Roman"/>
                <w:color w:val="000000" w:themeColor="text1"/>
                <w:sz w:val="24"/>
                <w:szCs w:val="24"/>
              </w:rPr>
              <w:t>Tiếp thu và chỉnh sửa áp dụng mức phạt có lợi hơn cho người vi phạm</w:t>
            </w:r>
          </w:p>
        </w:tc>
      </w:tr>
      <w:tr w:rsidR="00E46AE9" w:rsidRPr="00E46AE9" w14:paraId="6A77F0F4"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285BB45"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4F6E1052" w14:textId="533EBB4D"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Bộ KHCN</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8A454C3"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khoản 2: </w:t>
            </w:r>
          </w:p>
          <w:p w14:paraId="435483DF"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rà soát lại khoản 2 Điều 2 dự thảo Nghị định về nội dung dự kiến bổ sung điểm b khoản 2 Điều 56a Nghị định số 139/2021/NĐ-CP ngày 31/12/2021 của Chính phủ quy định xử phạt vi phạm hành chính trong lĩnh vực giao thông đường thủy nội địa. Nội dung tại Dự thảo chưa làm rõ trường hợp nào thì người có thẩm quyền ra quyết định trả lại giấy tờ cho người bị xử phạt, dẫn đến cách hiểu khác nhau như sau: </w:t>
            </w:r>
          </w:p>
          <w:p w14:paraId="1C53E359"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Trả lại giấy tờ do đã ghi nhận việc tạm giữ/tước quyền sử dụng trên Ứng dụng định danh quốc gia, cơ sở dữ liệu, không cần phải thu giấy tờ của người bị xử phạt. </w:t>
            </w:r>
          </w:p>
          <w:p w14:paraId="4C74F3DA" w14:textId="59457EEF"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Trả lại giấy tờ sau khi người bị xử phạt đã chấp hành xong hình phạt theo căn cứ được quy định tại điểm c khoản 2 Điều 56a.</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DBBD8C6" w14:textId="5A237A1A" w:rsidR="00902C69" w:rsidRPr="00E46AE9" w:rsidRDefault="00902C69" w:rsidP="006A18EE">
            <w:pPr>
              <w:ind w:firstLineChars="50" w:firstLine="120"/>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Việc trả lại giấy tờ cho người bị xử phạt thực hiện theo quy định tại Luật xử lý vi phạm hành chính.</w:t>
            </w:r>
          </w:p>
        </w:tc>
      </w:tr>
      <w:tr w:rsidR="00E46AE9" w:rsidRPr="00E46AE9" w14:paraId="1113F0C7"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165DF62"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C378626" w14:textId="4E4CF9BE"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Đà Nẵng</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69222795" w14:textId="5A0E14C1"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bổ sung cụm từ </w:t>
            </w:r>
            <w:r w:rsidRPr="00E46AE9">
              <w:rPr>
                <w:rFonts w:ascii="Times New Roman" w:hAnsi="Times New Roman"/>
                <w:b/>
                <w:i/>
                <w:color w:val="000000" w:themeColor="text1"/>
                <w:sz w:val="24"/>
                <w:szCs w:val="24"/>
              </w:rPr>
              <w:t>“khi người vi phạm đã thực hiện đầy đủ trách nhiệm đối với quyết định xử phạt vi phạm hành chính</w:t>
            </w:r>
            <w:r w:rsidRPr="00E46AE9">
              <w:rPr>
                <w:rFonts w:ascii="Times New Roman" w:hAnsi="Times New Roman"/>
                <w:i/>
                <w:color w:val="000000" w:themeColor="text1"/>
                <w:sz w:val="24"/>
                <w:szCs w:val="24"/>
              </w:rPr>
              <w:t>”</w:t>
            </w:r>
            <w:r w:rsidRPr="00E46AE9">
              <w:rPr>
                <w:rFonts w:ascii="Times New Roman" w:hAnsi="Times New Roman"/>
                <w:color w:val="000000" w:themeColor="text1"/>
                <w:sz w:val="24"/>
                <w:szCs w:val="24"/>
              </w:rPr>
              <w:t xml:space="preserve"> trong câu “hệ thống cơ sở dữ liệu xử lý vi phạm hành chính thực hiện đồng bộ thông tin với Ứng dụng định danh quốc gia, cơ sở dữ liệu do Bộ Công an, Bộ Xây dựng quản lý để gỡ bỏ nội dung thông tin về việc tạm giữ hoặc tước quyền sử dụng giấy tờ đó khi người vi phạm đã thực hiện đầy đủ trách nhiệm đối với quyết định xử phạt vi phạm hành chính”.</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5E557FC7" w14:textId="63C997AD"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Giũ nguyên như dự thảo vì nội dung này được quy định cụ thể tại Chương II, Điều 6, 125,126 Luật xử lý VPHC 2020 và Biên bản số 15, Quyết định số 20, 24… Nghị định 118/2021/NĐ-CP ngày 23/12/2021 quy định chi tiết một số điều và biện pháp thi hành Luật xử lý VPHC </w:t>
            </w:r>
          </w:p>
        </w:tc>
      </w:tr>
      <w:tr w:rsidR="00E46AE9" w:rsidRPr="00E46AE9" w14:paraId="457BC541"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6BB46C79" w14:textId="77777777" w:rsidR="00902C69" w:rsidRPr="00E46AE9" w:rsidRDefault="00902C69" w:rsidP="006A18EE">
            <w:pPr>
              <w:jc w:val="both"/>
              <w:rPr>
                <w:rFonts w:ascii="Times New Roman" w:hAnsi="Times New Roman"/>
                <w:color w:val="000000" w:themeColor="text1"/>
                <w:sz w:val="24"/>
                <w:szCs w:val="24"/>
              </w:rPr>
            </w:pPr>
          </w:p>
        </w:tc>
        <w:tc>
          <w:tcPr>
            <w:tcW w:w="658" w:type="pct"/>
            <w:vMerge w:val="restart"/>
            <w:tcBorders>
              <w:top w:val="nil"/>
              <w:left w:val="nil"/>
              <w:right w:val="single" w:sz="8" w:space="0" w:color="auto"/>
              <w:tl2br w:val="nil"/>
              <w:tr2bl w:val="nil"/>
            </w:tcBorders>
            <w:shd w:val="clear" w:color="auto" w:fill="auto"/>
            <w:tcMar>
              <w:top w:w="0" w:type="dxa"/>
              <w:left w:w="10" w:type="dxa"/>
              <w:bottom w:w="0" w:type="dxa"/>
              <w:right w:w="10" w:type="dxa"/>
            </w:tcMar>
            <w:vAlign w:val="center"/>
          </w:tcPr>
          <w:p w14:paraId="03B25E77" w14:textId="48FB315E"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Yên Bái</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55F1D966"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Bổ sung Điều 56a vào sau Điều 56 như sau: “Điều 56a. Kiểm tra, kiểm soát, xử lý vi phạm hành chính trên môi trường điện tử” </w:t>
            </w:r>
          </w:p>
          <w:p w14:paraId="147CD079"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Tuy nhiên, theo bố cục của Nghị định số 139: Điều 55. Xử lý hành vi không có hoặc không mang giấy tờ theo quy định; Điều 56. Chể độ thông tin trong hoạt động xử phạt vi phạm hành chính. </w:t>
            </w:r>
          </w:p>
          <w:p w14:paraId="6CDE9C1F" w14:textId="1356704D"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Như vậy, với nội dung quy định tại điều 56a, đề nghị cơ quan soạn thảo nghiên cứu điều chỉnh bổ sung vào Điều 55, Nghị định 139.</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3184780" w14:textId="50BCFB0E"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Giữ nguyên như dự thảo. Việc quy định tên Điều như vậy không làm ảnh hưởng đến việc xử phạt vi phạm hành chính.  </w:t>
            </w:r>
          </w:p>
        </w:tc>
      </w:tr>
      <w:tr w:rsidR="00E46AE9" w:rsidRPr="00E46AE9" w14:paraId="5735151E"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35C019FC" w14:textId="77777777" w:rsidR="00902C69" w:rsidRPr="00E46AE9" w:rsidRDefault="00902C69" w:rsidP="006A18EE">
            <w:pPr>
              <w:jc w:val="both"/>
              <w:rPr>
                <w:rFonts w:ascii="Times New Roman" w:hAnsi="Times New Roman"/>
                <w:color w:val="000000" w:themeColor="text1"/>
                <w:sz w:val="24"/>
                <w:szCs w:val="24"/>
              </w:rPr>
            </w:pPr>
          </w:p>
        </w:tc>
        <w:tc>
          <w:tcPr>
            <w:tcW w:w="658" w:type="pct"/>
            <w:vMerge/>
            <w:tcBorders>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5B196E4" w14:textId="77777777" w:rsidR="00902C69" w:rsidRPr="00E46AE9" w:rsidRDefault="00902C69" w:rsidP="006A18EE">
            <w:pPr>
              <w:jc w:val="both"/>
              <w:rPr>
                <w:rFonts w:ascii="Times New Roman" w:hAnsi="Times New Roman"/>
                <w:color w:val="000000" w:themeColor="text1"/>
                <w:sz w:val="24"/>
                <w:szCs w:val="24"/>
              </w:rPr>
            </w:pP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D225341"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Tại điểm b, khoản 2, điều 56a: “Giấy tờ đã có thông tin bị tạm giữ hoặc tước quyền sử dụng trên Ứng dụng định danh quốc gia, cơ sở dữ liệu do Bộ Công an, Bộ Xây dựng quản lý thì người có thẩm quyền ra quyết định, lập biên bản trả lại giấy tờ cho người bị xử phạt theo quy định; hệ thống cơ sở dữ liệu xử lý vi phạm hành chính thực hiện đồng bộ thông tin với Ứng dụng định danh quốc gia, cơ sở dữ liệu do Bộ Công an, Bộ Xây dựng quản lý để gỡ bỏ nội dung thông tin về việc tạm giữ hoặc tước quyền sử dụng giấy tờ đó”</w:t>
            </w:r>
          </w:p>
          <w:p w14:paraId="28F6611A" w14:textId="43EB129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Theo quy định tại khoản 4, Điều 126 Luật Xử lý vi phạm hành chính năm 2012 (sửa đổi bởi điểm b, khoản 65, Điều 1 Luật sửa đổi, bổ sung một số điều của Luật Xử lý vi phạm hành chính năm 2020), chỉ khi nào người có hành vi vi phạm thực hiện xong quyết định xử phạt, hết thời gian tước quyền sử dụng giấy tờ đã thể hiện trên Quyết định xử phạt vi phạm hành chính thì mới tiến hành trả lại giấy tờ cho người bị xử phạt và gỡ bỏ nội dung thông tin về việc tạm giữ hoặc tước quyền sử dụng giấy tờ đó. Vì vậy, việc trả giấy tờ khi chưa thực hiện xong quyết định xử phạt đã trả lại giấy tờ là không phù hợp. Đề nghị cơ quan soạn thảo xem xét chỉnh sửa cho phù hợp</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0EF7E5BC" w14:textId="487C09A4"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Giữ nguyên như dự thảo. Do không có nội dung nào quy định trái với khoản 4, Điều 126 Luật Xử lý vi phạm hành chính năm 2012 (sửa đổi bởi điểm b, khoản 65, Điều 1 Luật sửa đổi, bổ sung một số điều của Luật Xử lý vi phạm hành chính năm 2020).</w:t>
            </w:r>
          </w:p>
        </w:tc>
      </w:tr>
      <w:tr w:rsidR="00E46AE9" w:rsidRPr="00E46AE9" w14:paraId="4377D2CB"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7D44C360" w14:textId="60B9B266"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52083249" w14:textId="199F2883"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Long An</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547875E" w14:textId="5FA96DA9"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Đề nghị bổ sung nội dung sau:</w:t>
            </w:r>
          </w:p>
          <w:p w14:paraId="5D093DF9" w14:textId="4B92E399"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Bãi bỏ khoản 3, Điều 42 phân định thẩm quyền xử phạt vi phạm hành chính của Thanh tra Bộ Giao thông vận tải, cơ </w:t>
            </w:r>
            <w:r w:rsidRPr="00E46AE9">
              <w:rPr>
                <w:rFonts w:ascii="Times New Roman" w:hAnsi="Times New Roman"/>
                <w:color w:val="000000" w:themeColor="text1"/>
                <w:sz w:val="24"/>
                <w:szCs w:val="24"/>
              </w:rPr>
              <w:lastRenderedPageBreak/>
              <w:t xml:space="preserve">quan được giao thực hiện chức năng thanh tra chuyên ngành Cục Đường thủy nội địa Việt Nam; </w:t>
            </w:r>
          </w:p>
          <w:p w14:paraId="517AB100" w14:textId="0B26DB05"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Bãi bỏ khoản 4 Điều 42 phân định thẩm quyền xử phạt vi phạm hành chính của Thanh tra Sở Giao thông vận tải; bãi bỏ khoản 5 Điều 42 phân định thẩm quyền xử phạt vi phạm hành chính của Cơ quan được giao thực hiện hiện chức năng thanh tra chuyên ngành Chi cục Đường thủy nội địa.</w:t>
            </w:r>
          </w:p>
          <w:p w14:paraId="7667EBE3" w14:textId="6ED8E124"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+Bãi bỏ cụm từ “Thanh tra giao thông”, “cơ quan được giao thực hiện chức năng thanh tra chuyên ngành đường thủy nội địa” tại khoản 10 Điều 42.</w:t>
            </w:r>
          </w:p>
          <w:p w14:paraId="1F7DF077" w14:textId="2EFC4EFE"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Bãi bỏ Điều 46: Thẩm quyền xử phạt của Thanh tra chuyên ngành giao thông vận tải và cơ quan được giao thực hiện chức năng thanh tra chuyên ngành đường thủy nội địa</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3D7EC5D2" w14:textId="3DC151CC"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 xml:space="preserve">Sửa đổi bổ sung sau khi Luật xử phạt vi phạm hành chính; Luật thanh tra 2025; Nghị định sửa đổi Nghị định 118/2021/NĐ-CP hướng dẫn thi </w:t>
            </w:r>
            <w:r w:rsidRPr="00E46AE9">
              <w:rPr>
                <w:rFonts w:ascii="Times New Roman" w:hAnsi="Times New Roman"/>
                <w:color w:val="000000" w:themeColor="text1"/>
                <w:sz w:val="24"/>
                <w:szCs w:val="24"/>
              </w:rPr>
              <w:lastRenderedPageBreak/>
              <w:t>hành Luật Xử lý vi phạm hành chính được ban hành.</w:t>
            </w:r>
          </w:p>
        </w:tc>
      </w:tr>
      <w:tr w:rsidR="00E46AE9" w:rsidRPr="00E46AE9" w14:paraId="544CED24"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63D75619"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570EEE26" w14:textId="05F413AF"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Hưng Yên</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FA3C2F6" w14:textId="41005529"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Khoản 2</w:t>
            </w:r>
          </w:p>
          <w:p w14:paraId="72D30550" w14:textId="0C5CD022"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Cơ quan soạn thảo bỏ 01 cụm từ “giấy tờ” sau cụm từ “khi tạm giữ hoặc tước quyền sử dụng giấy tờ, người có thẩm quyền thực hiện việc tạm giữ hoặc tước quyền sử dụng” tại điểm a 2 khoản 2 Điều 56a được bổ sung vào sau Điều 56 Nghị định số 139/2021/NĐ-CP vì thừa.</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247FC247" w14:textId="1FCC0B40"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Giữ nguyên như dự thảo</w:t>
            </w:r>
          </w:p>
        </w:tc>
      </w:tr>
      <w:tr w:rsidR="00E46AE9" w:rsidRPr="00E46AE9" w14:paraId="57982599"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7D3F6014"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0355C8D8" w14:textId="07180945"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Tuyên Quang</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7E2D2C94"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xem xét sửa đổi từ ngữ “ …để…” bằng cụm từ “…và thông báo cho…” tại mục 2 khoản 2 Điều 2 “Bổ sung Điều 56a” dự thảo Nghị định, cụ thể: </w:t>
            </w:r>
          </w:p>
          <w:p w14:paraId="6DFCDEF4"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“2. Tạm giữ hoặc tước quyền sử dụng giấy tờ </w:t>
            </w:r>
          </w:p>
          <w:p w14:paraId="0D06B766" w14:textId="190230C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a) Khi tạm giữ hoặc tước quyền sử dụng giấy tờ, người có thẩm quyền thực hiện việc tạm giữ hoặc tước quyền sử dụng giấy tờ trên môi trường điện tử, cập nhật thông tin về việc tạm giữ hoặc tước quyền sử dụng giấy tờ giấy tờ đó trên hệ thống cơ sở dữ liệu xử lý vi phạm hành chính và đồng bộ với Ứng dụng định danh quốc gia, cơ sở dữ liệu do Bộ Công an, Bộ Xây dựng quản lý và thông báo cho người vi phạm, chủ phương tiện (đối với giấy tờ của chủ phương tiện) biết, chấp hành các quy định của pháp luật về trật tự, an toàn giao thông đường thủy nội địa, phục vụ các lực lượng chức năng có thẩm quyền kiểm tra, kiểm soát, xử lý vi phạm”</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03340840" w14:textId="77777777"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Giữ nguyên như dự thảo, bởi người vi phạm thực hiện truy cập vào hệ thống cơ sở dữ liệu xử lý vi phạm hành chính… để biết, chấp hành không cần thiết phải thực hiện việc thông báo làm phát sinh thêm thủ tục hành chính.</w:t>
            </w:r>
          </w:p>
          <w:p w14:paraId="55B68EFB" w14:textId="37639ABD" w:rsidR="00902C69" w:rsidRPr="00E46AE9" w:rsidRDefault="00902C69" w:rsidP="006A18EE">
            <w:pPr>
              <w:jc w:val="both"/>
              <w:rPr>
                <w:rFonts w:ascii="Times New Roman" w:hAnsi="Times New Roman"/>
                <w:color w:val="000000" w:themeColor="text1"/>
                <w:sz w:val="24"/>
                <w:szCs w:val="24"/>
              </w:rPr>
            </w:pPr>
          </w:p>
        </w:tc>
      </w:tr>
      <w:tr w:rsidR="00E46AE9" w:rsidRPr="00E46AE9" w14:paraId="182CE24F"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41"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42" w14:textId="30ACB6B1"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UBND Hải Phòng</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4D" w14:textId="7C164FB9"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Tại khoản 3 đề nghị sửa đổi, bổ sung và viết lại như sau: “3. Bãi bỏ cụm từ “khoản 1” tại khoản 3, khoản 4, và khoản 4 Điều 16; bãi bỏ khoản 3 Điều 10; điểm a khoản 1 Điều 21".</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4E" w14:textId="6A005BCD"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Giữ nguyên như dự thảo. Trong Nghị định  chỉ có 01 khoản 4 Điều 16 và không có khoản 3 Điều 10.</w:t>
            </w:r>
          </w:p>
        </w:tc>
      </w:tr>
      <w:tr w:rsidR="00E46AE9" w:rsidRPr="00E46AE9" w14:paraId="182CE25A"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8" w:space="0" w:color="auto"/>
              <w:right w:val="single" w:sz="8" w:space="0" w:color="auto"/>
              <w:tl2br w:val="nil"/>
              <w:tr2bl w:val="nil"/>
            </w:tcBorders>
            <w:shd w:val="clear" w:color="auto" w:fill="auto"/>
            <w:tcMar>
              <w:top w:w="0" w:type="dxa"/>
              <w:left w:w="10" w:type="dxa"/>
              <w:bottom w:w="0" w:type="dxa"/>
              <w:right w:w="10" w:type="dxa"/>
            </w:tcMar>
            <w:vAlign w:val="center"/>
          </w:tcPr>
          <w:p w14:paraId="182CE250" w14:textId="77777777" w:rsidR="00902C69" w:rsidRPr="00E46AE9" w:rsidRDefault="00902C69" w:rsidP="006A18EE">
            <w:pPr>
              <w:jc w:val="both"/>
              <w:rPr>
                <w:rFonts w:ascii="Times New Roman" w:hAnsi="Times New Roman"/>
                <w:color w:val="000000" w:themeColor="text1"/>
                <w:sz w:val="24"/>
                <w:szCs w:val="24"/>
              </w:rPr>
            </w:pPr>
          </w:p>
        </w:tc>
        <w:tc>
          <w:tcPr>
            <w:tcW w:w="658"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51" w14:textId="6A84D999"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Thái Nguyên</w:t>
            </w:r>
          </w:p>
        </w:tc>
        <w:tc>
          <w:tcPr>
            <w:tcW w:w="1982"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58" w14:textId="331E09FC" w:rsidR="00902C69" w:rsidRPr="00E46AE9" w:rsidRDefault="00902C69"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cơ quan chủ trì soạn thảo xem xét gộp nội dung điểm đ, điểm e khoản 2 Điều 39 Nghị định số 65/2018/NĐ-CP ngày 12/5/2018 của Chính phủ, đồng thời thay thế cụm từ: “Bộ Nông nghiệp và Phát triển nông thôn; Bộ Tài nguyên và Môi trường” thành cụm từ: “Bộ Nông nghiệp và Môi trường”.</w:t>
            </w:r>
          </w:p>
        </w:tc>
        <w:tc>
          <w:tcPr>
            <w:tcW w:w="1594" w:type="pct"/>
            <w:tcBorders>
              <w:top w:val="nil"/>
              <w:left w:val="nil"/>
              <w:bottom w:val="single" w:sz="4" w:space="0" w:color="auto"/>
              <w:right w:val="single" w:sz="8" w:space="0" w:color="auto"/>
              <w:tl2br w:val="nil"/>
              <w:tr2bl w:val="nil"/>
            </w:tcBorders>
            <w:shd w:val="clear" w:color="auto" w:fill="auto"/>
            <w:tcMar>
              <w:top w:w="0" w:type="dxa"/>
              <w:left w:w="10" w:type="dxa"/>
              <w:bottom w:w="0" w:type="dxa"/>
              <w:right w:w="10" w:type="dxa"/>
            </w:tcMar>
            <w:vAlign w:val="center"/>
          </w:tcPr>
          <w:p w14:paraId="182CE259" w14:textId="3058B740" w:rsidR="00902C69" w:rsidRPr="00E46AE9" w:rsidRDefault="006A18EE"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t>Tiếp thu và chỉnh sửa</w:t>
            </w:r>
          </w:p>
        </w:tc>
      </w:tr>
      <w:tr w:rsidR="00747997" w:rsidRPr="00E46AE9" w14:paraId="5A1341ED"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val="restart"/>
            <w:tcBorders>
              <w:top w:val="single" w:sz="4" w:space="0" w:color="auto"/>
              <w:left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B8F1553" w14:textId="07396530" w:rsidR="00747997" w:rsidRPr="006A18EE" w:rsidRDefault="00747997" w:rsidP="006A18EE">
            <w:pPr>
              <w:jc w:val="both"/>
              <w:rPr>
                <w:rFonts w:ascii="Times New Roman" w:hAnsi="Times New Roman"/>
                <w:b/>
                <w:color w:val="000000" w:themeColor="text1"/>
                <w:sz w:val="24"/>
                <w:szCs w:val="24"/>
              </w:rPr>
            </w:pPr>
            <w:r w:rsidRPr="006A18EE">
              <w:rPr>
                <w:rFonts w:ascii="Times New Roman" w:hAnsi="Times New Roman"/>
                <w:b/>
                <w:color w:val="000000" w:themeColor="text1"/>
                <w:sz w:val="24"/>
                <w:szCs w:val="24"/>
              </w:rPr>
              <w:t xml:space="preserve">Các nội dung ý kiến liên quan đến Nghị định số 65/2018/NĐ-CP ngày 12 tháng 5 năm 2018 của Chính phủ quy định chi tiết một số điều của Luật Đường sắt, được sửa đổi, bổ sung bởi Nghị định số 91/2023/NĐ-CP ngày 14 tháng 12 năm 2023 của Chính phủ </w:t>
            </w: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B31FEC5" w14:textId="2D3F70A0"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Văn phòng Bộ</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06BE1E81" w14:textId="77777777"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Đối với Mẫu số 02 và số 03, đề nghị đơn vị soạn thảo nghiên cứu cắt bỏ các trường thông tin sau do có thể tra cứu trên các dữ liệu quốc gia về doanh nghiệp hoặc về dân cư</w:t>
            </w:r>
          </w:p>
          <w:p w14:paraId="7807C1E0" w14:textId="45962293"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Giấy chứng nhận đăng ký doanh nghiệp số ....... Do (tên cơ quan cấp) cấp ngày ... tháng ... năm.- Họ tên người đại diện pháp luật.- Trường thông tin: Đơn vị cấp, ngày cấp chỉ áp dụng đối với Hộ chiếu. Đối với căn cước công dân, thẻ căn cước chỉ cần cung cấp số thẻ</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AAD489A" w14:textId="5BB82CD6" w:rsidR="00747997" w:rsidRPr="00E46AE9" w:rsidRDefault="00747997" w:rsidP="006A18EE">
            <w:pPr>
              <w:spacing w:before="80"/>
              <w:jc w:val="both"/>
              <w:rPr>
                <w:rFonts w:ascii="Times New Roman" w:hAnsi="Times New Roman"/>
                <w:i/>
                <w:strike/>
                <w:color w:val="000000" w:themeColor="text1"/>
                <w:sz w:val="24"/>
                <w:szCs w:val="24"/>
              </w:rPr>
            </w:pPr>
            <w:r w:rsidRPr="00E46AE9">
              <w:rPr>
                <w:rFonts w:ascii="Times New Roman" w:hAnsi="Times New Roman"/>
                <w:color w:val="000000" w:themeColor="text1"/>
                <w:sz w:val="24"/>
                <w:szCs w:val="24"/>
              </w:rPr>
              <w:t xml:space="preserve">- Tiếp thu và chỉnh sửa với ý kiến “bỏ các trường thông tin </w:t>
            </w:r>
            <w:r w:rsidRPr="00E46AE9">
              <w:rPr>
                <w:rFonts w:ascii="Times New Roman" w:hAnsi="Times New Roman"/>
                <w:i/>
                <w:color w:val="000000" w:themeColor="text1"/>
                <w:sz w:val="24"/>
                <w:szCs w:val="24"/>
              </w:rPr>
              <w:t xml:space="preserve">....... </w:t>
            </w:r>
            <w:r w:rsidRPr="00E46AE9">
              <w:rPr>
                <w:rFonts w:ascii="Times New Roman" w:hAnsi="Times New Roman"/>
                <w:i/>
                <w:strike/>
                <w:color w:val="000000" w:themeColor="text1"/>
                <w:sz w:val="24"/>
                <w:szCs w:val="24"/>
              </w:rPr>
              <w:t>Do (tên cơ quan cấp) cấp</w:t>
            </w:r>
            <w:r w:rsidRPr="00E46AE9">
              <w:rPr>
                <w:rFonts w:ascii="Times New Roman" w:hAnsi="Times New Roman"/>
                <w:i/>
                <w:strike/>
                <w:color w:val="000000" w:themeColor="text1"/>
                <w:sz w:val="24"/>
                <w:szCs w:val="24"/>
              </w:rPr>
              <w:br/>
              <w:t>ngày ... tháng ... năm. “</w:t>
            </w:r>
          </w:p>
          <w:p w14:paraId="14C71DA8" w14:textId="78DCA939" w:rsidR="00747997" w:rsidRPr="00E46AE9" w:rsidRDefault="00747997" w:rsidP="006A18EE">
            <w:pPr>
              <w:spacing w:before="80"/>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Giữ nguyên trường thông tin </w:t>
            </w:r>
            <w:r w:rsidRPr="00E46AE9">
              <w:rPr>
                <w:rFonts w:ascii="Times New Roman" w:hAnsi="Times New Roman"/>
                <w:i/>
                <w:color w:val="000000" w:themeColor="text1"/>
                <w:sz w:val="24"/>
                <w:szCs w:val="24"/>
              </w:rPr>
              <w:t>“ Họ tên người đại diện theo pháp luật”</w:t>
            </w:r>
            <w:r w:rsidRPr="00E46AE9">
              <w:rPr>
                <w:rFonts w:ascii="Times New Roman" w:hAnsi="Times New Roman"/>
                <w:color w:val="000000" w:themeColor="text1"/>
                <w:sz w:val="24"/>
                <w:szCs w:val="24"/>
              </w:rPr>
              <w:t xml:space="preserve"> để đảm bảo khi tổ chức làm đơn cấp Giấy phép vận tải hàng nguy hiểm bằng đường sắt cần phải khai trường thông tin “ Họ tên người đại diện theo pháp luật”.</w:t>
            </w:r>
          </w:p>
          <w:p w14:paraId="5CA5A762" w14:textId="2B8AD662" w:rsidR="00747997" w:rsidRPr="00E46AE9" w:rsidRDefault="00747997" w:rsidP="006A18EE">
            <w:pPr>
              <w:jc w:val="both"/>
              <w:rPr>
                <w:rFonts w:ascii="Times New Roman" w:hAnsi="Times New Roman"/>
                <w:color w:val="000000" w:themeColor="text1"/>
                <w:sz w:val="24"/>
                <w:szCs w:val="24"/>
              </w:rPr>
            </w:pPr>
          </w:p>
        </w:tc>
      </w:tr>
      <w:tr w:rsidR="00747997" w:rsidRPr="00E46AE9" w14:paraId="149FD4EE"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079B6973" w14:textId="77777777" w:rsidR="00747997" w:rsidRPr="00E46AE9" w:rsidRDefault="00747997" w:rsidP="006A18EE">
            <w:pPr>
              <w:jc w:val="both"/>
              <w:rPr>
                <w:rFonts w:ascii="Times New Roman" w:hAnsi="Times New Roman"/>
                <w:color w:val="000000" w:themeColor="text1"/>
                <w:sz w:val="24"/>
                <w:szCs w:val="24"/>
              </w:rPr>
            </w:pP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702906FD" w14:textId="2DEC23B2"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Pháp chế</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70FE0A2C" w14:textId="151B59DA"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rà soát, nghiên cứu thay thế các cụm từ "Bộ Kế hoạch - Đầu tư", "Bộ Nông nghiệp và Phát triển nông thôn", "Bộ Tài nguyên và Môi trường tại Nghị định số 65/2018/NĐ-CP do hiện nay không còn các cơ quan này.</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5CD93A56" w14:textId="0A3107A3"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Tiếp thu và chỉnh sửa</w:t>
            </w:r>
          </w:p>
        </w:tc>
      </w:tr>
      <w:tr w:rsidR="00747997" w:rsidRPr="00E46AE9" w14:paraId="182CE272"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6D" w14:textId="33F38812" w:rsidR="00747997" w:rsidRPr="00E46AE9" w:rsidRDefault="00747997" w:rsidP="006A18EE">
            <w:pPr>
              <w:jc w:val="both"/>
              <w:rPr>
                <w:rFonts w:ascii="Times New Roman" w:hAnsi="Times New Roman"/>
                <w:color w:val="000000" w:themeColor="text1"/>
                <w:sz w:val="24"/>
                <w:szCs w:val="24"/>
              </w:rPr>
            </w:pP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6E" w14:textId="50EBE2FD"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Quảng Ngãi</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70" w14:textId="33BB2A75"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2. Đề nghị điều chỉnh nội dung khoản 4, Điều 6 Dự thảo Nghị định quy định chi tiết và hướng dẫn thi hành một số điều của Luật Giao thông đường thủy nội địa và Luật sửa đổi, bổ sung một số điều của Luật Giao thông đường thủy nội địa: “4. Ủy ban nhân dân tỉnh, thành phố tổ chức thực hiện việc giao nhiệm vụ, đặt hàng hoặc đấu thầu cung cấp dịch vụ sự nghiệp công giao thông đường thủy nội địa địa phương. Chủ tịch Ủy ban nhân dân tỉnh, thành phố quy định chi tiết khoản 2,4 Điều này” thành “Chủ tịch Ủy ban nhân dân tỉnh, thành phố quyết định việc giao nhiệm vụ, đặt hàng hoặc đấu thầu cung cấp dịch vụ sự nghiệp công giao thông đường thủy nội địa khi </w:t>
            </w:r>
            <w:r w:rsidRPr="00E46AE9">
              <w:rPr>
                <w:rFonts w:ascii="Times New Roman" w:hAnsi="Times New Roman"/>
                <w:color w:val="000000" w:themeColor="text1"/>
                <w:sz w:val="24"/>
                <w:szCs w:val="24"/>
              </w:rPr>
              <w:lastRenderedPageBreak/>
              <w:t>triển khai thực hiện các nhiệm vụ được giao tại khoản 2 Điều này”.</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71" w14:textId="445ED9E7" w:rsidR="00747997" w:rsidRPr="00E46AE9" w:rsidRDefault="00747997"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Không có nội dung này trong dự thảo Nghị định</w:t>
            </w:r>
          </w:p>
        </w:tc>
      </w:tr>
      <w:tr w:rsidR="00E46AE9" w:rsidRPr="00E46AE9" w14:paraId="7A1D9C0D"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val="restart"/>
            <w:tcBorders>
              <w:top w:val="single" w:sz="4" w:space="0" w:color="auto"/>
              <w:left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0C6A0A2" w14:textId="530E81F9" w:rsidR="005A1FC2" w:rsidRPr="006A18EE" w:rsidRDefault="005A1FC2" w:rsidP="006A18EE">
            <w:pPr>
              <w:jc w:val="both"/>
              <w:rPr>
                <w:rFonts w:ascii="Times New Roman" w:hAnsi="Times New Roman"/>
                <w:b/>
                <w:color w:val="000000" w:themeColor="text1"/>
                <w:sz w:val="24"/>
                <w:szCs w:val="24"/>
              </w:rPr>
            </w:pPr>
            <w:r w:rsidRPr="006A18EE">
              <w:rPr>
                <w:rFonts w:ascii="Times New Roman" w:hAnsi="Times New Roman"/>
                <w:b/>
                <w:color w:val="000000" w:themeColor="text1"/>
                <w:sz w:val="24"/>
                <w:szCs w:val="24"/>
              </w:rPr>
              <w:lastRenderedPageBreak/>
              <w:t>Các nội dung liên quan đến điều khoản chuyển tiếp và thi hành</w:t>
            </w: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2F0D2AE3" w14:textId="6E9D056C"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Pháp chế</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27331D9C" w14:textId="06873966"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rà soát kỹ điều khoản chuyển tiếp để quy định đúng nội dung cần quy định chuyển tiếp phù hợp với các nội dung tại dự thảo Nghị định. Mặt khác, đề nghị xem xét có cần thiết quy định chuyển tiếp đối với cơ quan, tổ chức kế thừa" không do các nội dung, vấn đề liên quan đến sắp xếp tổ chức bộ máy nhà nước đã được nêu và xử lý tại Nghị quyết số 190/2025/QH15.</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F03A6A9" w14:textId="5D98E477" w:rsidR="005A1FC2" w:rsidRPr="00E46AE9" w:rsidRDefault="003E262B" w:rsidP="006A18EE">
            <w:pPr>
              <w:jc w:val="both"/>
              <w:rPr>
                <w:rFonts w:ascii="Times New Roman" w:hAnsi="Times New Roman"/>
                <w:color w:val="000000" w:themeColor="text1"/>
                <w:sz w:val="24"/>
                <w:szCs w:val="24"/>
              </w:rPr>
            </w:pPr>
            <w:r>
              <w:rPr>
                <w:rFonts w:ascii="Times New Roman" w:hAnsi="Times New Roman"/>
                <w:color w:val="000000" w:themeColor="text1"/>
                <w:sz w:val="24"/>
                <w:szCs w:val="24"/>
              </w:rPr>
              <w:t>Tiếp thu và chỉnh sửa</w:t>
            </w:r>
          </w:p>
        </w:tc>
      </w:tr>
      <w:tr w:rsidR="00E46AE9" w:rsidRPr="00E46AE9" w14:paraId="5E329650"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3D71B115" w14:textId="77777777" w:rsidR="005A1FC2" w:rsidRPr="00E46AE9" w:rsidRDefault="005A1FC2" w:rsidP="006A18EE">
            <w:pPr>
              <w:jc w:val="both"/>
              <w:rPr>
                <w:rFonts w:ascii="Times New Roman" w:hAnsi="Times New Roman"/>
                <w:color w:val="000000" w:themeColor="text1"/>
                <w:sz w:val="24"/>
                <w:szCs w:val="24"/>
              </w:rPr>
            </w:pP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4DA3510A" w14:textId="28328E68"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Tuyên Quang</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0D864BC4" w14:textId="77777777"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Đề nghị xem xét sửa đổi cụm từ “…doanh nghiệp nếu đến …” bằng cụm từ “…trước thời điểm…” </w:t>
            </w:r>
          </w:p>
          <w:p w14:paraId="706437F5" w14:textId="77777777" w:rsidR="005A1FC2" w:rsidRPr="00E46AE9" w:rsidRDefault="005A1FC2" w:rsidP="006A18EE">
            <w:pPr>
              <w:jc w:val="both"/>
              <w:rPr>
                <w:rFonts w:ascii="Times New Roman" w:hAnsi="Times New Roman"/>
                <w:color w:val="000000" w:themeColor="text1"/>
                <w:sz w:val="24"/>
                <w:szCs w:val="24"/>
              </w:rPr>
            </w:pPr>
          </w:p>
          <w:p w14:paraId="0D68C161" w14:textId="0D1ABF2D"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xem xét sửa đổi cụm từ cụm từ “…xã hội, người dân, doanh nghiệp” bằng cụm từ “…tổ chức, cá nhân” tại khoản 2 Điều 4 “Điều khoản chuyển tiếp” dự thảo Nghị định, cụ thể: “2. Điều khoản chuyển tiếp Các hồ sơ, thủ tục hành chính mà các cơ quan, đơn vị đang giải quyết cho cá nhân, tổ chức trước thời điểm Nghị định này có hiệu lực mà vẫn chưa hoàn thành hoặc đã hoàn thành nhưng sau đó phát sinh vấn đề liên quan cần giải quyết thì cơ quan, tổ chức kế thừa nhiệm vụ của cơ quan, tổ chức tiếp nhận, giải quyết công việc, hồ sơ thủ tục hành chính đó tiếp tục giải quyết theo quy định của Nghị định này, bảo đảm không làm gián đoạn công việc, không ảnh hưởng đến hoạt động bình thường của tổ chức, cá nhân”.</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59F2BE59" w14:textId="77777777" w:rsidR="005A1FC2"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Đề nghị giữ nguyên để đảm bảo tính chính xác của ý nghĩa</w:t>
            </w:r>
          </w:p>
          <w:p w14:paraId="79C5C3FC" w14:textId="77777777" w:rsidR="00AD090D" w:rsidRPr="00E46AE9" w:rsidRDefault="00AD090D" w:rsidP="006A18EE">
            <w:pPr>
              <w:jc w:val="both"/>
              <w:rPr>
                <w:rFonts w:ascii="Times New Roman" w:hAnsi="Times New Roman"/>
                <w:color w:val="000000" w:themeColor="text1"/>
                <w:sz w:val="24"/>
                <w:szCs w:val="24"/>
              </w:rPr>
            </w:pPr>
          </w:p>
          <w:p w14:paraId="5624CC95" w14:textId="77777777" w:rsidR="005A1FC2" w:rsidRPr="00E46AE9" w:rsidRDefault="005A1FC2" w:rsidP="006A18EE">
            <w:pPr>
              <w:jc w:val="both"/>
              <w:rPr>
                <w:rFonts w:ascii="Times New Roman" w:hAnsi="Times New Roman"/>
                <w:color w:val="000000" w:themeColor="text1"/>
                <w:sz w:val="24"/>
                <w:szCs w:val="24"/>
              </w:rPr>
            </w:pPr>
          </w:p>
          <w:p w14:paraId="5CC9428C" w14:textId="2E48C56B"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Tiếp thu và chỉnh sửa</w:t>
            </w:r>
          </w:p>
          <w:p w14:paraId="6F5D3E9A" w14:textId="77777777" w:rsidR="005A1FC2" w:rsidRPr="00E46AE9" w:rsidRDefault="005A1FC2" w:rsidP="006A18EE">
            <w:pPr>
              <w:jc w:val="both"/>
              <w:rPr>
                <w:rFonts w:ascii="Times New Roman" w:hAnsi="Times New Roman"/>
                <w:color w:val="000000" w:themeColor="text1"/>
                <w:sz w:val="24"/>
                <w:szCs w:val="24"/>
              </w:rPr>
            </w:pPr>
          </w:p>
          <w:p w14:paraId="673785C4" w14:textId="77777777" w:rsidR="005A1FC2" w:rsidRPr="00E46AE9" w:rsidRDefault="005A1FC2" w:rsidP="006A18EE">
            <w:pPr>
              <w:jc w:val="both"/>
              <w:rPr>
                <w:rFonts w:ascii="Times New Roman" w:hAnsi="Times New Roman"/>
                <w:color w:val="000000" w:themeColor="text1"/>
                <w:sz w:val="24"/>
                <w:szCs w:val="24"/>
              </w:rPr>
            </w:pPr>
          </w:p>
          <w:p w14:paraId="581398BA" w14:textId="77777777" w:rsidR="005A1FC2" w:rsidRPr="00E46AE9" w:rsidRDefault="005A1FC2" w:rsidP="006A18EE">
            <w:pPr>
              <w:jc w:val="both"/>
              <w:rPr>
                <w:rFonts w:ascii="Times New Roman" w:hAnsi="Times New Roman"/>
                <w:color w:val="000000" w:themeColor="text1"/>
                <w:sz w:val="24"/>
                <w:szCs w:val="24"/>
              </w:rPr>
            </w:pPr>
          </w:p>
          <w:p w14:paraId="02D70053" w14:textId="77777777" w:rsidR="005A1FC2" w:rsidRPr="00E46AE9" w:rsidRDefault="005A1FC2" w:rsidP="006A18EE">
            <w:pPr>
              <w:jc w:val="both"/>
              <w:rPr>
                <w:rFonts w:ascii="Times New Roman" w:hAnsi="Times New Roman"/>
                <w:color w:val="000000" w:themeColor="text1"/>
                <w:sz w:val="24"/>
                <w:szCs w:val="24"/>
              </w:rPr>
            </w:pPr>
          </w:p>
          <w:p w14:paraId="0D342115" w14:textId="77777777" w:rsidR="005A1FC2" w:rsidRPr="00E46AE9" w:rsidRDefault="005A1FC2" w:rsidP="006A18EE">
            <w:pPr>
              <w:jc w:val="both"/>
              <w:rPr>
                <w:rFonts w:ascii="Times New Roman" w:hAnsi="Times New Roman"/>
                <w:color w:val="000000" w:themeColor="text1"/>
                <w:sz w:val="24"/>
                <w:szCs w:val="24"/>
              </w:rPr>
            </w:pPr>
          </w:p>
          <w:p w14:paraId="23E5ED90" w14:textId="77777777" w:rsidR="005A1FC2" w:rsidRPr="00E46AE9" w:rsidRDefault="005A1FC2" w:rsidP="006A18EE">
            <w:pPr>
              <w:jc w:val="both"/>
              <w:rPr>
                <w:rFonts w:ascii="Times New Roman" w:hAnsi="Times New Roman"/>
                <w:color w:val="000000" w:themeColor="text1"/>
                <w:sz w:val="24"/>
                <w:szCs w:val="24"/>
              </w:rPr>
            </w:pPr>
          </w:p>
          <w:p w14:paraId="46D769FF" w14:textId="77777777" w:rsidR="005A1FC2" w:rsidRPr="00E46AE9" w:rsidRDefault="005A1FC2" w:rsidP="006A18EE">
            <w:pPr>
              <w:jc w:val="both"/>
              <w:rPr>
                <w:rFonts w:ascii="Times New Roman" w:hAnsi="Times New Roman"/>
                <w:color w:val="000000" w:themeColor="text1"/>
                <w:sz w:val="24"/>
                <w:szCs w:val="24"/>
              </w:rPr>
            </w:pPr>
          </w:p>
          <w:p w14:paraId="510A2B2C" w14:textId="77777777" w:rsidR="005A1FC2" w:rsidRPr="00E46AE9" w:rsidRDefault="005A1FC2" w:rsidP="006A18EE">
            <w:pPr>
              <w:jc w:val="both"/>
              <w:rPr>
                <w:rFonts w:ascii="Times New Roman" w:hAnsi="Times New Roman"/>
                <w:color w:val="000000" w:themeColor="text1"/>
                <w:sz w:val="24"/>
                <w:szCs w:val="24"/>
              </w:rPr>
            </w:pPr>
          </w:p>
          <w:p w14:paraId="0E271CBE" w14:textId="77777777" w:rsidR="005A1FC2" w:rsidRPr="00E46AE9" w:rsidRDefault="005A1FC2" w:rsidP="006A18EE">
            <w:pPr>
              <w:jc w:val="both"/>
              <w:rPr>
                <w:rFonts w:ascii="Times New Roman" w:hAnsi="Times New Roman"/>
                <w:color w:val="000000" w:themeColor="text1"/>
                <w:sz w:val="24"/>
                <w:szCs w:val="24"/>
              </w:rPr>
            </w:pPr>
          </w:p>
          <w:p w14:paraId="06CF6A6D" w14:textId="3ADD6183" w:rsidR="005A1FC2" w:rsidRPr="00E46AE9" w:rsidRDefault="005A1FC2" w:rsidP="006A18EE">
            <w:pPr>
              <w:jc w:val="both"/>
              <w:rPr>
                <w:rFonts w:ascii="Times New Roman" w:hAnsi="Times New Roman"/>
                <w:color w:val="000000" w:themeColor="text1"/>
                <w:sz w:val="24"/>
                <w:szCs w:val="24"/>
              </w:rPr>
            </w:pPr>
          </w:p>
        </w:tc>
      </w:tr>
      <w:tr w:rsidR="00E46AE9" w:rsidRPr="00E46AE9" w14:paraId="62BD017D"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73A0710F" w14:textId="507D3B6A" w:rsidR="005A1FC2" w:rsidRPr="006A18EE" w:rsidRDefault="005A1FC2" w:rsidP="006A18EE">
            <w:pPr>
              <w:jc w:val="both"/>
              <w:rPr>
                <w:rFonts w:ascii="Times New Roman" w:hAnsi="Times New Roman"/>
                <w:b/>
                <w:color w:val="000000" w:themeColor="text1"/>
                <w:sz w:val="24"/>
                <w:szCs w:val="24"/>
              </w:rPr>
            </w:pPr>
            <w:r w:rsidRPr="006A18EE">
              <w:rPr>
                <w:rFonts w:ascii="Times New Roman" w:hAnsi="Times New Roman"/>
                <w:b/>
                <w:color w:val="000000" w:themeColor="text1"/>
                <w:sz w:val="24"/>
                <w:szCs w:val="24"/>
              </w:rPr>
              <w:t xml:space="preserve">Các nội dung khác </w:t>
            </w: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D1E4E73" w14:textId="1F0F0111"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Sở Xây dựng Hưng yên</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3EB47150" w14:textId="3589932C"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Tại khoản 1 Điều 84 dự thảo Nghị định: “Bến thủy nội địa vi phạm quy định tại khoản 6 Điều 3 Nghị định này hiện đang thực hiện đầu tư hoặc đang hoạt động theo quy định được tiếp tục đầu tư, hoạt động thêm 01 năm kể từ ngày Nghị định này có hiệu lực. Hết thời hạn hiệu lực theo quy định tại khoản này bến thủy nội địa chưa chuyển đổi thành cảng thủy nội địa theo quy định thì không được phép hoạt động”. Hiện tại có nhiều bến thuỷ nội địa đang hoạt động để bốc xếp hàng hoá, vật liệu phục vụ các công trình trọng điểm tại các địa </w:t>
            </w:r>
            <w:r w:rsidRPr="00E46AE9">
              <w:rPr>
                <w:rFonts w:ascii="Times New Roman" w:hAnsi="Times New Roman"/>
                <w:color w:val="000000" w:themeColor="text1"/>
                <w:sz w:val="24"/>
                <w:szCs w:val="24"/>
              </w:rPr>
              <w:lastRenderedPageBreak/>
              <w:t>phương, thủ tục chuyển đổi từ bến thuỷ nội địa thành cảng thuỷ nội địa có nhiều hạng mục cần nhiều thời gian để hoàn thiện. Do vậy để không ảnh hưởng đến việc phục vụ cung cấp vật liệu cho các công trình trọng điểm và tạo điều kiện thời gian cho các chủ bến thủy nội địa chuyển đổi thành cảng thủy, đề nghị cơ quan soạn thảo thay đổi thời hạn chuyển đổi từ 01 năm thành 03 năm.</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2B6BD451" w14:textId="6DC6A178" w:rsidR="005A1FC2" w:rsidRPr="00E46AE9" w:rsidRDefault="005A1FC2"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Đây là nội dung quy định tại Nghị định số 08/2021/NĐ-CP, không thuộc đối tượng của Nghị định này.</w:t>
            </w:r>
          </w:p>
        </w:tc>
      </w:tr>
      <w:tr w:rsidR="006A18EE" w:rsidRPr="00E46AE9" w14:paraId="22BD354F"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val="restart"/>
            <w:tcBorders>
              <w:top w:val="single" w:sz="4" w:space="0" w:color="auto"/>
              <w:left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5609E78F" w14:textId="7719DBF9" w:rsidR="006A18EE" w:rsidRPr="006A18EE" w:rsidRDefault="006A18EE" w:rsidP="006A18EE">
            <w:pPr>
              <w:jc w:val="both"/>
              <w:rPr>
                <w:rFonts w:ascii="Times New Roman" w:hAnsi="Times New Roman"/>
                <w:b/>
                <w:color w:val="000000" w:themeColor="text1"/>
                <w:sz w:val="24"/>
                <w:szCs w:val="24"/>
              </w:rPr>
            </w:pPr>
            <w:r w:rsidRPr="006A18EE">
              <w:rPr>
                <w:rFonts w:ascii="Times New Roman" w:hAnsi="Times New Roman"/>
                <w:b/>
                <w:color w:val="000000" w:themeColor="text1"/>
                <w:sz w:val="24"/>
                <w:szCs w:val="24"/>
              </w:rPr>
              <w:lastRenderedPageBreak/>
              <w:t>Về thể thức, kỹ thuật soạn thảo</w:t>
            </w: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55053722" w14:textId="64E853DF"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Bộ Tư pháp</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4420F98E" w14:textId="11F27776"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Đối với dự thảo Tờ trình, đề nghị cơ quan chủ trì soạn thảo hoàn thiện dự thảo Tờ trình theo Mẫu số 2 Phụ lục IV ban hành kèm theo Nghị định số 78/2025/NĐ-CP và lưu ý bổ sung nội dung “nêu rõ: việc thể chế hóa chủ trương, đường lối của Đảng, chính sách của Nhà nước; vấn đề chưa được pháp luật quy định hoặc đã có quy định nhưng chưa phù hợp; vướng mắc, bất cập từ thực tiễn; nội dung cắt giảm, đơn giản hóa thủ tục hành chính; nội dung phân quyền, phân cấp; vấn đề còn ý kiến khác nhau cần xin ý kiến cấp có thẩm quyền và kiến nghị phương án giải quyết” theo quy định tại khoản 3 Điều 6 Nghị định này</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40128D22" w14:textId="5596B6DF"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Khoản 3 Điều 6 áp dụng đối với Tờ trình dự án, dự thảo văn bản ban hành mới. Dự thảo Nghị định là văn bản quy phạm pháp lật sửa đổi, bổ sung.</w:t>
            </w:r>
          </w:p>
        </w:tc>
      </w:tr>
      <w:tr w:rsidR="006A18EE" w:rsidRPr="00E46AE9" w14:paraId="1005F5D1" w14:textId="77777777" w:rsidTr="00747997">
        <w:tblPrEx>
          <w:tblBorders>
            <w:top w:val="none" w:sz="0" w:space="0" w:color="auto"/>
            <w:bottom w:val="none" w:sz="0" w:space="0" w:color="auto"/>
            <w:insideH w:val="none" w:sz="0" w:space="0" w:color="auto"/>
            <w:insideV w:val="none" w:sz="0" w:space="0" w:color="auto"/>
          </w:tblBorders>
        </w:tblPrEx>
        <w:trPr>
          <w:trHeight w:val="20"/>
        </w:trPr>
        <w:tc>
          <w:tcPr>
            <w:tcW w:w="766" w:type="pct"/>
            <w:vMerge/>
            <w:tcBorders>
              <w:left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78D2BC24" w14:textId="27D024A0" w:rsidR="006A18EE" w:rsidRPr="00E46AE9" w:rsidRDefault="006A18EE" w:rsidP="006A18EE">
            <w:pPr>
              <w:jc w:val="both"/>
              <w:rPr>
                <w:rFonts w:ascii="Times New Roman" w:hAnsi="Times New Roman"/>
                <w:color w:val="000000" w:themeColor="text1"/>
                <w:sz w:val="24"/>
                <w:szCs w:val="24"/>
              </w:rPr>
            </w:pP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4788AF08" w14:textId="6E24CAE2"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Vụ Vận tải</w:t>
            </w: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1AFACC8" w14:textId="1488396A"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Đề nghị bổ sung vào Báo cáo này và các hồ sơ liên quan thông tin về “Nghị định số 54/2022/NĐ-CP” ngày 22/8/2022 sửa đổi, bổ sung một số điều của Nghị định số 78/2016/NĐ-CP ngày 01/7/2016 của Chính phủ quy định điều kiện kinh doanh dịch vụ đào tạo thuyền viên, người lái phương tiện thủy nội địa và Nghị định số 08/2021/NĐ CP ngày 28/01/2021 của Chính phủ quy định về quản lý hoạt động đường thủy nội địa (liên quan đến cắt giảm thủ tục hành chính)</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2B845D8F" w14:textId="109DD697"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Đề nghị giữ nguyên vì các nội dung sửa đổi, bổ sung trong Nghị định này không liên quan đến Nghị định số 54/2022/NĐ-CP ngày 22/8/2022 của Chính phủ</w:t>
            </w:r>
          </w:p>
        </w:tc>
      </w:tr>
      <w:tr w:rsidR="006A18EE" w:rsidRPr="00E46AE9" w14:paraId="182CE27D" w14:textId="77777777" w:rsidTr="00747997">
        <w:tblPrEx>
          <w:tblBorders>
            <w:top w:val="none" w:sz="0" w:space="0" w:color="auto"/>
            <w:bottom w:val="none" w:sz="0" w:space="0" w:color="auto"/>
            <w:insideH w:val="none" w:sz="0" w:space="0" w:color="auto"/>
            <w:insideV w:val="none" w:sz="0" w:space="0" w:color="auto"/>
          </w:tblBorders>
        </w:tblPrEx>
        <w:trPr>
          <w:trHeight w:val="701"/>
        </w:trPr>
        <w:tc>
          <w:tcPr>
            <w:tcW w:w="766" w:type="pct"/>
            <w:vMerge/>
            <w:tcBorders>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78" w14:textId="77777777" w:rsidR="006A18EE" w:rsidRPr="00E46AE9" w:rsidRDefault="006A18EE" w:rsidP="006A18EE">
            <w:pPr>
              <w:jc w:val="both"/>
              <w:rPr>
                <w:rFonts w:ascii="Times New Roman" w:hAnsi="Times New Roman"/>
                <w:color w:val="000000" w:themeColor="text1"/>
                <w:sz w:val="24"/>
                <w:szCs w:val="24"/>
              </w:rPr>
            </w:pPr>
          </w:p>
        </w:tc>
        <w:tc>
          <w:tcPr>
            <w:tcW w:w="658"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79" w14:textId="33000266" w:rsidR="006A18EE" w:rsidRPr="00E46AE9" w:rsidRDefault="006A18EE" w:rsidP="006A18EE">
            <w:pPr>
              <w:jc w:val="both"/>
              <w:rPr>
                <w:rFonts w:ascii="Times New Roman" w:hAnsi="Times New Roman"/>
                <w:color w:val="000000" w:themeColor="text1"/>
                <w:sz w:val="24"/>
                <w:szCs w:val="24"/>
              </w:rPr>
            </w:pPr>
          </w:p>
        </w:tc>
        <w:tc>
          <w:tcPr>
            <w:tcW w:w="1982"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6C783C15" w14:textId="77777777"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Về Báo cáo Đánh giá tác động của thủ tục hành chính: Đề nghị rà soát 03 Thủ tục hành chính trong báo cáo, như sau: </w:t>
            </w:r>
          </w:p>
          <w:p w14:paraId="3457B0E4" w14:textId="77777777"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xml:space="preserve">- Mục II. Đánh giá tính hợp lý của từng bộ phận tạo thành thủ tục hành chính: đề nghị chỉ đánh giá đối với bộ phận thủ tục hành chính được quy định chi tiết hoặc được sửa đổi, bổ sung; trường hợp bộ phận thủ tục hành chính không được quy định chi tiết hoặc không sửa đổi, bổ sung thì không đánh </w:t>
            </w:r>
            <w:r w:rsidRPr="00E46AE9">
              <w:rPr>
                <w:rFonts w:ascii="Times New Roman" w:hAnsi="Times New Roman"/>
                <w:color w:val="000000" w:themeColor="text1"/>
                <w:sz w:val="24"/>
                <w:szCs w:val="24"/>
              </w:rPr>
              <w:lastRenderedPageBreak/>
              <w:t>giá và xóa khỏi Biểu mẫu (theo hướng dẫn tại Biểu mẫu số 03/ĐGTĐ-QĐCT/SĐBS</w:t>
            </w:r>
          </w:p>
          <w:p w14:paraId="182CE27B" w14:textId="19D02A7D"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t>- Mục IV. Thông tin liên hệ, đề nghị nêu cụ thể “Họ và tên người điền” của cơ quan tham mưu (Trung tâm Công nghệ thông tin), hoặc tách riêng 02 cơ quan chủ trì soạn thảo đối với mỗi thủ tục hành chính (Cục Hàng hải Đường thủy Việt Nam và Cục Đường sắt Việt Nam)</w:t>
            </w:r>
          </w:p>
        </w:tc>
        <w:tc>
          <w:tcPr>
            <w:tcW w:w="1594" w:type="pct"/>
            <w:tcBorders>
              <w:top w:val="single" w:sz="4" w:space="0" w:color="auto"/>
              <w:left w:val="single" w:sz="4" w:space="0" w:color="auto"/>
              <w:bottom w:val="single" w:sz="4" w:space="0" w:color="auto"/>
              <w:right w:val="single" w:sz="4" w:space="0" w:color="auto"/>
              <w:tl2br w:val="nil"/>
              <w:tr2bl w:val="nil"/>
            </w:tcBorders>
            <w:shd w:val="clear" w:color="auto" w:fill="auto"/>
            <w:tcMar>
              <w:top w:w="0" w:type="dxa"/>
              <w:left w:w="10" w:type="dxa"/>
              <w:bottom w:w="0" w:type="dxa"/>
              <w:right w:w="10" w:type="dxa"/>
            </w:tcMar>
            <w:vAlign w:val="center"/>
          </w:tcPr>
          <w:p w14:paraId="182CE27C" w14:textId="07350084" w:rsidR="006A18EE" w:rsidRPr="00E46AE9" w:rsidRDefault="006A18EE" w:rsidP="006A18EE">
            <w:pPr>
              <w:jc w:val="both"/>
              <w:rPr>
                <w:rFonts w:ascii="Times New Roman" w:hAnsi="Times New Roman"/>
                <w:color w:val="000000" w:themeColor="text1"/>
                <w:sz w:val="24"/>
                <w:szCs w:val="24"/>
              </w:rPr>
            </w:pPr>
            <w:r w:rsidRPr="00E46AE9">
              <w:rPr>
                <w:rFonts w:ascii="Times New Roman" w:hAnsi="Times New Roman"/>
                <w:color w:val="000000" w:themeColor="text1"/>
                <w:sz w:val="24"/>
                <w:szCs w:val="24"/>
              </w:rPr>
              <w:lastRenderedPageBreak/>
              <w:t xml:space="preserve"> Tiếp thu và chỉnh sửa</w:t>
            </w:r>
          </w:p>
        </w:tc>
      </w:tr>
    </w:tbl>
    <w:p w14:paraId="182CE35C" w14:textId="77777777" w:rsidR="00A34857" w:rsidRPr="00E46AE9" w:rsidRDefault="00A34857" w:rsidP="006A18EE">
      <w:pPr>
        <w:jc w:val="both"/>
        <w:rPr>
          <w:rFonts w:ascii="Times New Roman" w:hAnsi="Times New Roman"/>
          <w:color w:val="000000" w:themeColor="text1"/>
          <w:sz w:val="24"/>
          <w:szCs w:val="24"/>
        </w:rPr>
      </w:pPr>
    </w:p>
    <w:sectPr w:rsidR="00A34857" w:rsidRPr="00E46AE9" w:rsidSect="00C0215C">
      <w:headerReference w:type="first" r:id="rId12"/>
      <w:type w:val="continuous"/>
      <w:pgSz w:w="16839" w:h="11907" w:orient="landscape" w:code="9"/>
      <w:pgMar w:top="1138" w:right="1138" w:bottom="1138" w:left="1699" w:header="510" w:footer="51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34C480" w14:textId="77777777" w:rsidR="00ED1199" w:rsidRDefault="00ED1199" w:rsidP="000C2A20">
      <w:r>
        <w:separator/>
      </w:r>
    </w:p>
  </w:endnote>
  <w:endnote w:type="continuationSeparator" w:id="0">
    <w:p w14:paraId="61457054" w14:textId="77777777" w:rsidR="00ED1199" w:rsidRDefault="00ED1199" w:rsidP="000C2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Courier New"/>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MT">
    <w:altName w:val="Times New Roman"/>
    <w:charset w:val="00"/>
    <w:family w:val="roman"/>
    <w:pitch w:val="default"/>
    <w:sig w:usb0="00000000" w:usb1="00000000" w:usb2="00000000" w:usb3="00000000" w:csb0="00040001"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CE369" w14:textId="77777777" w:rsidR="002F1A13" w:rsidRDefault="002F1A13" w:rsidP="002F1A13">
    <w:pPr>
      <w:pStyle w:val="Footer"/>
      <w:jc w:val="center"/>
      <w:rPr>
        <w:i/>
        <w:sz w:val="26"/>
      </w:rPr>
    </w:pPr>
  </w:p>
  <w:p w14:paraId="182CE36A" w14:textId="77777777" w:rsidR="002F1A13" w:rsidRPr="00BA1F5E" w:rsidRDefault="002F1A13" w:rsidP="002F1A13">
    <w:pPr>
      <w:pStyle w:val="Footer"/>
      <w:jc w:val="center"/>
      <w:rPr>
        <w:i/>
        <w:sz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5DA7F9" w14:textId="77777777" w:rsidR="00ED1199" w:rsidRDefault="00ED1199" w:rsidP="000C2A20">
      <w:r>
        <w:separator/>
      </w:r>
    </w:p>
  </w:footnote>
  <w:footnote w:type="continuationSeparator" w:id="0">
    <w:p w14:paraId="5B0FC2E2" w14:textId="77777777" w:rsidR="00ED1199" w:rsidRDefault="00ED1199" w:rsidP="000C2A2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noProof w:val="0"/>
        <w:sz w:val="26"/>
        <w:szCs w:val="26"/>
      </w:rPr>
      <w:id w:val="-1468653888"/>
      <w:docPartObj>
        <w:docPartGallery w:val="Page Numbers (Top of Page)"/>
        <w:docPartUnique/>
      </w:docPartObj>
    </w:sdtPr>
    <w:sdtEndPr>
      <w:rPr>
        <w:noProof/>
      </w:rPr>
    </w:sdtEndPr>
    <w:sdtContent>
      <w:p w14:paraId="182CE367" w14:textId="77777777" w:rsidR="002F1A13" w:rsidRPr="006A18EE" w:rsidRDefault="002F1A13">
        <w:pPr>
          <w:pStyle w:val="Header"/>
          <w:jc w:val="center"/>
          <w:rPr>
            <w:rFonts w:ascii="Times New Roman" w:hAnsi="Times New Roman"/>
            <w:sz w:val="26"/>
            <w:szCs w:val="26"/>
          </w:rPr>
        </w:pPr>
        <w:r w:rsidRPr="006A18EE">
          <w:rPr>
            <w:rFonts w:ascii="Times New Roman" w:hAnsi="Times New Roman"/>
            <w:noProof w:val="0"/>
            <w:sz w:val="26"/>
            <w:szCs w:val="26"/>
          </w:rPr>
          <w:fldChar w:fldCharType="begin"/>
        </w:r>
        <w:r w:rsidRPr="006A18EE">
          <w:rPr>
            <w:rFonts w:ascii="Times New Roman" w:hAnsi="Times New Roman"/>
            <w:sz w:val="26"/>
            <w:szCs w:val="26"/>
          </w:rPr>
          <w:instrText xml:space="preserve"> PAGE   \* MERGEFORMAT </w:instrText>
        </w:r>
        <w:r w:rsidRPr="006A18EE">
          <w:rPr>
            <w:rFonts w:ascii="Times New Roman" w:hAnsi="Times New Roman"/>
            <w:noProof w:val="0"/>
            <w:sz w:val="26"/>
            <w:szCs w:val="26"/>
          </w:rPr>
          <w:fldChar w:fldCharType="separate"/>
        </w:r>
        <w:r w:rsidR="008A2BAD">
          <w:rPr>
            <w:rFonts w:ascii="Times New Roman" w:hAnsi="Times New Roman"/>
            <w:sz w:val="26"/>
            <w:szCs w:val="26"/>
          </w:rPr>
          <w:t>16</w:t>
        </w:r>
        <w:r w:rsidRPr="006A18EE">
          <w:rPr>
            <w:rFonts w:ascii="Times New Roman" w:hAnsi="Times New Roman"/>
            <w:sz w:val="26"/>
            <w:szCs w:val="26"/>
          </w:rPr>
          <w:fldChar w:fldCharType="end"/>
        </w:r>
      </w:p>
    </w:sdtContent>
  </w:sdt>
  <w:p w14:paraId="182CE368" w14:textId="77777777" w:rsidR="002F1A13" w:rsidRPr="006A18EE" w:rsidRDefault="002F1A13">
    <w:pPr>
      <w:pStyle w:val="Header"/>
      <w:rPr>
        <w:rFonts w:ascii="Times New Roman" w:hAnsi="Times New Roman"/>
        <w:sz w:val="26"/>
        <w:szCs w:val="2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CE36B" w14:textId="77777777" w:rsidR="002F1A13" w:rsidRPr="00042EDE" w:rsidRDefault="002F1A13" w:rsidP="002F1A13">
    <w:pPr>
      <w:pStyle w:val="Header"/>
      <w:jc w:val="center"/>
      <w:rPr>
        <w:sz w:val="26"/>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2CE36C" w14:textId="77777777" w:rsidR="002F1A13" w:rsidRPr="00042EDE" w:rsidRDefault="002F1A13" w:rsidP="002F1A13">
    <w:pPr>
      <w:pStyle w:val="Header"/>
      <w:jc w:val="center"/>
      <w:rPr>
        <w:sz w:val="26"/>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654C8"/>
    <w:multiLevelType w:val="hybridMultilevel"/>
    <w:tmpl w:val="859E7CB2"/>
    <w:lvl w:ilvl="0" w:tplc="52AE411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8D27B8"/>
    <w:multiLevelType w:val="hybridMultilevel"/>
    <w:tmpl w:val="FCC83CA2"/>
    <w:lvl w:ilvl="0" w:tplc="2DE655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6E09B2"/>
    <w:multiLevelType w:val="hybridMultilevel"/>
    <w:tmpl w:val="632AC9AE"/>
    <w:lvl w:ilvl="0" w:tplc="F23EDE6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AD93B49"/>
    <w:multiLevelType w:val="hybridMultilevel"/>
    <w:tmpl w:val="3F96DFD4"/>
    <w:lvl w:ilvl="0" w:tplc="FC5ABB7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2F4F2F"/>
    <w:multiLevelType w:val="hybridMultilevel"/>
    <w:tmpl w:val="A19A1DEC"/>
    <w:lvl w:ilvl="0" w:tplc="B5B677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434AAD"/>
    <w:multiLevelType w:val="hybridMultilevel"/>
    <w:tmpl w:val="8504790E"/>
    <w:lvl w:ilvl="0" w:tplc="FF18D0D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D87F95"/>
    <w:multiLevelType w:val="hybridMultilevel"/>
    <w:tmpl w:val="E9727B48"/>
    <w:lvl w:ilvl="0" w:tplc="13E6A10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3C6A80"/>
    <w:multiLevelType w:val="hybridMultilevel"/>
    <w:tmpl w:val="00BC770A"/>
    <w:lvl w:ilvl="0" w:tplc="C2000C4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C027370"/>
    <w:multiLevelType w:val="hybridMultilevel"/>
    <w:tmpl w:val="2E2217FA"/>
    <w:lvl w:ilvl="0" w:tplc="E842C37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1D32831"/>
    <w:multiLevelType w:val="hybridMultilevel"/>
    <w:tmpl w:val="A0F2F6B8"/>
    <w:lvl w:ilvl="0" w:tplc="A426D40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AA293D"/>
    <w:multiLevelType w:val="hybridMultilevel"/>
    <w:tmpl w:val="A36E606E"/>
    <w:lvl w:ilvl="0" w:tplc="7E0E774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D20E45"/>
    <w:multiLevelType w:val="hybridMultilevel"/>
    <w:tmpl w:val="685ABA00"/>
    <w:lvl w:ilvl="0" w:tplc="DE4A671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DA23B3E"/>
    <w:multiLevelType w:val="hybridMultilevel"/>
    <w:tmpl w:val="9266E38C"/>
    <w:lvl w:ilvl="0" w:tplc="F772627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48006A"/>
    <w:multiLevelType w:val="hybridMultilevel"/>
    <w:tmpl w:val="496416A4"/>
    <w:lvl w:ilvl="0" w:tplc="FCC22A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49C541F"/>
    <w:multiLevelType w:val="hybridMultilevel"/>
    <w:tmpl w:val="408483D0"/>
    <w:lvl w:ilvl="0" w:tplc="F1E22134">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0D0F77"/>
    <w:multiLevelType w:val="hybridMultilevel"/>
    <w:tmpl w:val="F34AE464"/>
    <w:lvl w:ilvl="0" w:tplc="BE32F40C">
      <w:numFmt w:val="bullet"/>
      <w:lvlText w:val="-"/>
      <w:lvlJc w:val="left"/>
      <w:pPr>
        <w:ind w:left="720" w:hanging="360"/>
      </w:pPr>
      <w:rPr>
        <w:rFonts w:ascii="Segoe UI" w:eastAsia="Times New Roman" w:hAnsi="Segoe UI" w:cs="Segoe UI" w:hint="default"/>
        <w:color w:val="081B3A"/>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D3D5EEE"/>
    <w:multiLevelType w:val="hybridMultilevel"/>
    <w:tmpl w:val="4604815E"/>
    <w:lvl w:ilvl="0" w:tplc="F93AC83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D97C0C"/>
    <w:multiLevelType w:val="hybridMultilevel"/>
    <w:tmpl w:val="BDE0E6F4"/>
    <w:lvl w:ilvl="0" w:tplc="AF84D952">
      <w:numFmt w:val="bullet"/>
      <w:lvlText w:val="-"/>
      <w:lvlJc w:val="left"/>
      <w:pPr>
        <w:ind w:left="720" w:hanging="360"/>
      </w:pPr>
      <w:rPr>
        <w:rFonts w:ascii="Segoe UI" w:eastAsia="Times New Roman" w:hAnsi="Segoe UI" w:cs="Segoe UI" w:hint="default"/>
        <w:color w:val="081B3A"/>
        <w:sz w:val="2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8170BB7"/>
    <w:multiLevelType w:val="hybridMultilevel"/>
    <w:tmpl w:val="365CB43A"/>
    <w:lvl w:ilvl="0" w:tplc="0409000F">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D6451C"/>
    <w:multiLevelType w:val="hybridMultilevel"/>
    <w:tmpl w:val="76C4B172"/>
    <w:lvl w:ilvl="0" w:tplc="ED047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8B229A6"/>
    <w:multiLevelType w:val="hybridMultilevel"/>
    <w:tmpl w:val="75CCAA94"/>
    <w:lvl w:ilvl="0" w:tplc="C3BCA6AA">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B647163"/>
    <w:multiLevelType w:val="hybridMultilevel"/>
    <w:tmpl w:val="F1A847BE"/>
    <w:lvl w:ilvl="0" w:tplc="0AC0E0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E717DE0"/>
    <w:multiLevelType w:val="hybridMultilevel"/>
    <w:tmpl w:val="06A8DCB6"/>
    <w:lvl w:ilvl="0" w:tplc="7EB68AC4">
      <w:start w:val="1"/>
      <w:numFmt w:val="bullet"/>
      <w:lvlText w:val="-"/>
      <w:lvlJc w:val="left"/>
      <w:pPr>
        <w:ind w:left="720" w:hanging="360"/>
      </w:pPr>
      <w:rPr>
        <w:rFonts w:ascii=".VnTime" w:eastAsia="Times New Roman" w:hAnsi=".VnTime"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13"/>
  </w:num>
  <w:num w:numId="4">
    <w:abstractNumId w:val="19"/>
  </w:num>
  <w:num w:numId="5">
    <w:abstractNumId w:val="11"/>
  </w:num>
  <w:num w:numId="6">
    <w:abstractNumId w:val="3"/>
  </w:num>
  <w:num w:numId="7">
    <w:abstractNumId w:val="4"/>
  </w:num>
  <w:num w:numId="8">
    <w:abstractNumId w:val="16"/>
  </w:num>
  <w:num w:numId="9">
    <w:abstractNumId w:val="17"/>
  </w:num>
  <w:num w:numId="10">
    <w:abstractNumId w:val="15"/>
  </w:num>
  <w:num w:numId="11">
    <w:abstractNumId w:val="21"/>
  </w:num>
  <w:num w:numId="12">
    <w:abstractNumId w:val="10"/>
  </w:num>
  <w:num w:numId="13">
    <w:abstractNumId w:val="6"/>
  </w:num>
  <w:num w:numId="14">
    <w:abstractNumId w:val="12"/>
  </w:num>
  <w:num w:numId="15">
    <w:abstractNumId w:val="20"/>
  </w:num>
  <w:num w:numId="16">
    <w:abstractNumId w:val="0"/>
  </w:num>
  <w:num w:numId="17">
    <w:abstractNumId w:val="1"/>
  </w:num>
  <w:num w:numId="18">
    <w:abstractNumId w:val="14"/>
  </w:num>
  <w:num w:numId="19">
    <w:abstractNumId w:val="9"/>
  </w:num>
  <w:num w:numId="20">
    <w:abstractNumId w:val="22"/>
  </w:num>
  <w:num w:numId="21">
    <w:abstractNumId w:val="8"/>
  </w:num>
  <w:num w:numId="22">
    <w:abstractNumId w:val="2"/>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A20"/>
    <w:rsid w:val="0000383B"/>
    <w:rsid w:val="00022976"/>
    <w:rsid w:val="00024490"/>
    <w:rsid w:val="00054F7A"/>
    <w:rsid w:val="0006221E"/>
    <w:rsid w:val="000661F2"/>
    <w:rsid w:val="000A33CB"/>
    <w:rsid w:val="000B5333"/>
    <w:rsid w:val="000C2A20"/>
    <w:rsid w:val="000C4717"/>
    <w:rsid w:val="000E3D05"/>
    <w:rsid w:val="001321CE"/>
    <w:rsid w:val="001405E7"/>
    <w:rsid w:val="001A72FE"/>
    <w:rsid w:val="001B1867"/>
    <w:rsid w:val="001D6E11"/>
    <w:rsid w:val="001E647C"/>
    <w:rsid w:val="002560A3"/>
    <w:rsid w:val="002F1A13"/>
    <w:rsid w:val="003243A2"/>
    <w:rsid w:val="0032581C"/>
    <w:rsid w:val="00347BF9"/>
    <w:rsid w:val="00376227"/>
    <w:rsid w:val="00393B9B"/>
    <w:rsid w:val="003B667A"/>
    <w:rsid w:val="003C41B8"/>
    <w:rsid w:val="003E262B"/>
    <w:rsid w:val="003E4409"/>
    <w:rsid w:val="00451CD8"/>
    <w:rsid w:val="004A355C"/>
    <w:rsid w:val="004A6E12"/>
    <w:rsid w:val="004B07C3"/>
    <w:rsid w:val="004C4956"/>
    <w:rsid w:val="004C520E"/>
    <w:rsid w:val="004C7B68"/>
    <w:rsid w:val="004D29AF"/>
    <w:rsid w:val="004E7DDA"/>
    <w:rsid w:val="004F59E4"/>
    <w:rsid w:val="0053260E"/>
    <w:rsid w:val="005538D8"/>
    <w:rsid w:val="00581716"/>
    <w:rsid w:val="00582F95"/>
    <w:rsid w:val="005A1FC2"/>
    <w:rsid w:val="005B22A8"/>
    <w:rsid w:val="005C7CBE"/>
    <w:rsid w:val="006155B5"/>
    <w:rsid w:val="00651537"/>
    <w:rsid w:val="006539F1"/>
    <w:rsid w:val="006761AF"/>
    <w:rsid w:val="006829E3"/>
    <w:rsid w:val="006A18EE"/>
    <w:rsid w:val="006C5B95"/>
    <w:rsid w:val="0070703E"/>
    <w:rsid w:val="00743577"/>
    <w:rsid w:val="00747997"/>
    <w:rsid w:val="0075141C"/>
    <w:rsid w:val="0079689C"/>
    <w:rsid w:val="007A001A"/>
    <w:rsid w:val="007A1417"/>
    <w:rsid w:val="007D4019"/>
    <w:rsid w:val="00894AB2"/>
    <w:rsid w:val="008A2BAD"/>
    <w:rsid w:val="00902C69"/>
    <w:rsid w:val="00916179"/>
    <w:rsid w:val="009274F4"/>
    <w:rsid w:val="00944E9E"/>
    <w:rsid w:val="0095712B"/>
    <w:rsid w:val="009761C0"/>
    <w:rsid w:val="00A05B70"/>
    <w:rsid w:val="00A15BD6"/>
    <w:rsid w:val="00A24E4B"/>
    <w:rsid w:val="00A2540C"/>
    <w:rsid w:val="00A34857"/>
    <w:rsid w:val="00AD090D"/>
    <w:rsid w:val="00B262AE"/>
    <w:rsid w:val="00B32696"/>
    <w:rsid w:val="00B400A8"/>
    <w:rsid w:val="00B52F23"/>
    <w:rsid w:val="00B622CB"/>
    <w:rsid w:val="00B64A23"/>
    <w:rsid w:val="00B90AF8"/>
    <w:rsid w:val="00B9694C"/>
    <w:rsid w:val="00BD5427"/>
    <w:rsid w:val="00BE4137"/>
    <w:rsid w:val="00BF4343"/>
    <w:rsid w:val="00BF7493"/>
    <w:rsid w:val="00C0215C"/>
    <w:rsid w:val="00C23DDE"/>
    <w:rsid w:val="00C24115"/>
    <w:rsid w:val="00C921AE"/>
    <w:rsid w:val="00CE46A2"/>
    <w:rsid w:val="00CF2BC4"/>
    <w:rsid w:val="00D055EA"/>
    <w:rsid w:val="00D75EEE"/>
    <w:rsid w:val="00DA2D40"/>
    <w:rsid w:val="00DD0AF4"/>
    <w:rsid w:val="00E1627E"/>
    <w:rsid w:val="00E46AE9"/>
    <w:rsid w:val="00E81F52"/>
    <w:rsid w:val="00E86852"/>
    <w:rsid w:val="00E86D7A"/>
    <w:rsid w:val="00E919B8"/>
    <w:rsid w:val="00EB3EF3"/>
    <w:rsid w:val="00EC1E3E"/>
    <w:rsid w:val="00ED1199"/>
    <w:rsid w:val="00EF38E5"/>
    <w:rsid w:val="00F07EB8"/>
    <w:rsid w:val="00F25A45"/>
    <w:rsid w:val="00F411A5"/>
    <w:rsid w:val="00F41612"/>
    <w:rsid w:val="00F541FD"/>
    <w:rsid w:val="00F71F8A"/>
    <w:rsid w:val="00F769C6"/>
    <w:rsid w:val="00FA0938"/>
    <w:rsid w:val="00FB3BA6"/>
    <w:rsid w:val="00FB5D9D"/>
    <w:rsid w:val="00FC49A1"/>
    <w:rsid w:val="00FF02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2CE203"/>
  <w15:docId w15:val="{29883B06-5203-4517-92B5-BC5087A503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2A20"/>
    <w:pPr>
      <w:spacing w:after="0" w:line="240" w:lineRule="auto"/>
    </w:pPr>
    <w:rPr>
      <w:rFonts w:ascii=".VnTime" w:eastAsia="Times New Roman" w:hAnsi=".VnTime" w:cs="Times New Roman"/>
      <w:noProof/>
      <w:sz w:val="28"/>
      <w:szCs w:val="28"/>
    </w:rPr>
  </w:style>
  <w:style w:type="paragraph" w:styleId="Heading3">
    <w:name w:val="heading 3"/>
    <w:basedOn w:val="Normal"/>
    <w:next w:val="Normal"/>
    <w:link w:val="Heading3Char"/>
    <w:unhideWhenUsed/>
    <w:qFormat/>
    <w:rsid w:val="00E86852"/>
    <w:pPr>
      <w:keepNext/>
      <w:keepLines/>
      <w:spacing w:before="160" w:after="80"/>
      <w:outlineLvl w:val="2"/>
    </w:pPr>
    <w:rPr>
      <w:rFonts w:asciiTheme="minorHAnsi" w:eastAsiaTheme="majorEastAsia" w:hAnsiTheme="minorHAnsi" w:cstheme="majorBidi"/>
      <w:noProof w:val="0"/>
      <w:color w:val="365F91" w:themeColor="accent1" w:themeShade="BF"/>
      <w:kern w:val="2"/>
      <w14:ligatures w14:val="standardContextual"/>
    </w:rPr>
  </w:style>
  <w:style w:type="paragraph" w:styleId="Heading4">
    <w:name w:val="heading 4"/>
    <w:basedOn w:val="Normal"/>
    <w:next w:val="Normal"/>
    <w:link w:val="Heading4Char"/>
    <w:unhideWhenUsed/>
    <w:qFormat/>
    <w:rsid w:val="00E86852"/>
    <w:pPr>
      <w:keepNext/>
      <w:keepLines/>
      <w:spacing w:before="80" w:after="40"/>
      <w:outlineLvl w:val="3"/>
    </w:pPr>
    <w:rPr>
      <w:rFonts w:asciiTheme="minorHAnsi" w:eastAsiaTheme="majorEastAsia" w:hAnsiTheme="minorHAnsi" w:cstheme="majorBidi"/>
      <w:i/>
      <w:iCs/>
      <w:noProof w:val="0"/>
      <w:color w:val="365F91" w:themeColor="accent1" w:themeShade="BF"/>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0C2A20"/>
    <w:pPr>
      <w:tabs>
        <w:tab w:val="center" w:pos="4680"/>
        <w:tab w:val="right" w:pos="9360"/>
      </w:tabs>
    </w:pPr>
  </w:style>
  <w:style w:type="character" w:customStyle="1" w:styleId="FooterChar">
    <w:name w:val="Footer Char"/>
    <w:basedOn w:val="DefaultParagraphFont"/>
    <w:link w:val="Footer"/>
    <w:uiPriority w:val="99"/>
    <w:rsid w:val="000C2A20"/>
    <w:rPr>
      <w:rFonts w:ascii=".VnTime" w:eastAsia="Times New Roman" w:hAnsi=".VnTime" w:cs="Times New Roman"/>
      <w:noProof/>
      <w:sz w:val="28"/>
      <w:szCs w:val="28"/>
    </w:rPr>
  </w:style>
  <w:style w:type="paragraph" w:styleId="Header">
    <w:name w:val="header"/>
    <w:basedOn w:val="Normal"/>
    <w:link w:val="HeaderChar"/>
    <w:uiPriority w:val="99"/>
    <w:unhideWhenUsed/>
    <w:rsid w:val="000C2A20"/>
    <w:pPr>
      <w:tabs>
        <w:tab w:val="center" w:pos="4680"/>
        <w:tab w:val="right" w:pos="9360"/>
      </w:tabs>
    </w:pPr>
  </w:style>
  <w:style w:type="character" w:customStyle="1" w:styleId="HeaderChar">
    <w:name w:val="Header Char"/>
    <w:basedOn w:val="DefaultParagraphFont"/>
    <w:link w:val="Header"/>
    <w:uiPriority w:val="99"/>
    <w:rsid w:val="000C2A20"/>
    <w:rPr>
      <w:rFonts w:ascii=".VnTime" w:eastAsia="Times New Roman" w:hAnsi=".VnTime" w:cs="Times New Roman"/>
      <w:noProof/>
      <w:sz w:val="28"/>
      <w:szCs w:val="28"/>
    </w:rPr>
  </w:style>
  <w:style w:type="character" w:customStyle="1" w:styleId="fontstyle01">
    <w:name w:val="fontstyle01"/>
    <w:basedOn w:val="DefaultParagraphFont"/>
    <w:rsid w:val="000C2A20"/>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0C2A20"/>
    <w:pPr>
      <w:ind w:left="720" w:firstLine="737"/>
      <w:contextualSpacing/>
      <w:jc w:val="both"/>
    </w:pPr>
    <w:rPr>
      <w:rFonts w:ascii="Arial" w:eastAsia="SimSun" w:hAnsi="Arial" w:cs="Arial"/>
      <w:noProof w:val="0"/>
      <w:lang w:eastAsia="zh-CN"/>
    </w:rPr>
  </w:style>
  <w:style w:type="paragraph" w:styleId="FootnoteText">
    <w:name w:val="footnote text"/>
    <w:aliases w:val="Footnote Text Char Tegn Char,Footnote Text Char Char Char Char Char,Footnote Text Char Char Char Char Char Char Ch Char,Footnote Text Char Char Char Char Char Char Ch Char Char,Footnote Text Char Char Char Char Char Char Ch,f"/>
    <w:basedOn w:val="Normal"/>
    <w:link w:val="FootnoteTextChar"/>
    <w:uiPriority w:val="99"/>
    <w:qFormat/>
    <w:rsid w:val="000C2A20"/>
    <w:rPr>
      <w:rFonts w:ascii="Times New Roman" w:hAnsi="Times New Roman"/>
      <w:noProof w:val="0"/>
      <w:sz w:val="20"/>
      <w:szCs w:val="20"/>
    </w:rPr>
  </w:style>
  <w:style w:type="character" w:customStyle="1" w:styleId="FootnoteTextChar">
    <w:name w:val="Footnote Text Char"/>
    <w:aliases w:val="Footnote Text Char Tegn Char Char,Footnote Text Char Char Char Char Char Char,Footnote Text Char Char Char Char Char Char Ch Char Char1,Footnote Text Char Char Char Char Char Char Ch Char Char Char,f Char"/>
    <w:basedOn w:val="DefaultParagraphFont"/>
    <w:link w:val="FootnoteText"/>
    <w:uiPriority w:val="99"/>
    <w:qFormat/>
    <w:rsid w:val="000C2A20"/>
    <w:rPr>
      <w:rFonts w:ascii="Times New Roman" w:eastAsia="Times New Roman" w:hAnsi="Times New Roman" w:cs="Times New Roman"/>
      <w:sz w:val="20"/>
      <w:szCs w:val="20"/>
    </w:rPr>
  </w:style>
  <w:style w:type="character" w:styleId="FootnoteReference">
    <w:name w:val="footnote reference"/>
    <w:aliases w:val="Footnote,Footnote text,ftref,Ref,de nota al pie,Footnote text + 13 pt,Footnote Text1,BearingPoint,16 Point,Superscript 6 Point,fr,Footnote Text Char Char Char Char Char Char Ch Char Char Char Char Char Char C,Footnote + Arial,10 p"/>
    <w:link w:val="RefChar"/>
    <w:uiPriority w:val="99"/>
    <w:qFormat/>
    <w:rsid w:val="000C2A20"/>
    <w:rPr>
      <w:vertAlign w:val="superscript"/>
    </w:rPr>
  </w:style>
  <w:style w:type="paragraph" w:customStyle="1" w:styleId="RefChar">
    <w:name w:val="Ref Char"/>
    <w:aliases w:val="de nota al pie Char,Ref1 Char,BVI fnr Char Char Char Char Char Char Char,BVI fnr Car Car Char Char Char Char Char Char Char,BVI fnr Car Char Char Char Char Char Char Char,FNRefe"/>
    <w:basedOn w:val="Normal"/>
    <w:link w:val="FootnoteReference"/>
    <w:uiPriority w:val="99"/>
    <w:rsid w:val="000C2A20"/>
    <w:pPr>
      <w:spacing w:after="160" w:line="240" w:lineRule="exact"/>
    </w:pPr>
    <w:rPr>
      <w:rFonts w:asciiTheme="minorHAnsi" w:eastAsiaTheme="minorHAnsi" w:hAnsiTheme="minorHAnsi" w:cstheme="minorBidi"/>
      <w:noProof w:val="0"/>
      <w:sz w:val="22"/>
      <w:szCs w:val="22"/>
      <w:vertAlign w:val="superscript"/>
    </w:rPr>
  </w:style>
  <w:style w:type="table" w:styleId="TableGrid">
    <w:name w:val="Table Grid"/>
    <w:basedOn w:val="TableNormal"/>
    <w:uiPriority w:val="59"/>
    <w:rsid w:val="000C2A2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0C2A20"/>
    <w:pPr>
      <w:spacing w:before="100" w:beforeAutospacing="1" w:after="100" w:afterAutospacing="1"/>
    </w:pPr>
    <w:rPr>
      <w:rFonts w:ascii="Times New Roman" w:hAnsi="Times New Roman"/>
      <w:noProof w:val="0"/>
      <w:sz w:val="24"/>
      <w:szCs w:val="24"/>
    </w:rPr>
  </w:style>
  <w:style w:type="paragraph" w:styleId="BalloonText">
    <w:name w:val="Balloon Text"/>
    <w:basedOn w:val="Normal"/>
    <w:link w:val="BalloonTextChar"/>
    <w:uiPriority w:val="99"/>
    <w:semiHidden/>
    <w:unhideWhenUsed/>
    <w:rsid w:val="00582F9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2F95"/>
    <w:rPr>
      <w:rFonts w:ascii="Segoe UI" w:eastAsia="Times New Roman" w:hAnsi="Segoe UI" w:cs="Segoe UI"/>
      <w:noProof/>
      <w:sz w:val="18"/>
      <w:szCs w:val="18"/>
    </w:rPr>
  </w:style>
  <w:style w:type="character" w:customStyle="1" w:styleId="Heading3Char">
    <w:name w:val="Heading 3 Char"/>
    <w:basedOn w:val="DefaultParagraphFont"/>
    <w:link w:val="Heading3"/>
    <w:rsid w:val="00E86852"/>
    <w:rPr>
      <w:rFonts w:eastAsiaTheme="majorEastAsia" w:cstheme="majorBidi"/>
      <w:color w:val="365F91" w:themeColor="accent1" w:themeShade="BF"/>
      <w:kern w:val="2"/>
      <w:sz w:val="28"/>
      <w:szCs w:val="28"/>
      <w14:ligatures w14:val="standardContextual"/>
    </w:rPr>
  </w:style>
  <w:style w:type="character" w:customStyle="1" w:styleId="Heading4Char">
    <w:name w:val="Heading 4 Char"/>
    <w:basedOn w:val="DefaultParagraphFont"/>
    <w:link w:val="Heading4"/>
    <w:rsid w:val="00E86852"/>
    <w:rPr>
      <w:rFonts w:eastAsiaTheme="majorEastAsia" w:cstheme="majorBidi"/>
      <w:i/>
      <w:iCs/>
      <w:color w:val="365F91" w:themeColor="accent1" w:themeShade="BF"/>
      <w:kern w:val="2"/>
      <w14:ligatures w14:val="standardContextual"/>
    </w:rPr>
  </w:style>
  <w:style w:type="character" w:styleId="Hyperlink">
    <w:name w:val="Hyperlink"/>
    <w:basedOn w:val="DefaultParagraphFont"/>
    <w:uiPriority w:val="99"/>
    <w:unhideWhenUsed/>
    <w:rsid w:val="00B400A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5320141">
      <w:bodyDiv w:val="1"/>
      <w:marLeft w:val="0"/>
      <w:marRight w:val="0"/>
      <w:marTop w:val="0"/>
      <w:marBottom w:val="0"/>
      <w:divBdr>
        <w:top w:val="none" w:sz="0" w:space="0" w:color="auto"/>
        <w:left w:val="none" w:sz="0" w:space="0" w:color="auto"/>
        <w:bottom w:val="none" w:sz="0" w:space="0" w:color="auto"/>
        <w:right w:val="none" w:sz="0" w:space="0" w:color="auto"/>
      </w:divBdr>
    </w:div>
    <w:div w:id="796946254">
      <w:bodyDiv w:val="1"/>
      <w:marLeft w:val="0"/>
      <w:marRight w:val="0"/>
      <w:marTop w:val="0"/>
      <w:marBottom w:val="0"/>
      <w:divBdr>
        <w:top w:val="none" w:sz="0" w:space="0" w:color="auto"/>
        <w:left w:val="none" w:sz="0" w:space="0" w:color="auto"/>
        <w:bottom w:val="none" w:sz="0" w:space="0" w:color="auto"/>
        <w:right w:val="none" w:sz="0" w:space="0" w:color="auto"/>
      </w:divBdr>
    </w:div>
    <w:div w:id="950430105">
      <w:bodyDiv w:val="1"/>
      <w:marLeft w:val="0"/>
      <w:marRight w:val="0"/>
      <w:marTop w:val="0"/>
      <w:marBottom w:val="0"/>
      <w:divBdr>
        <w:top w:val="none" w:sz="0" w:space="0" w:color="auto"/>
        <w:left w:val="none" w:sz="0" w:space="0" w:color="auto"/>
        <w:bottom w:val="none" w:sz="0" w:space="0" w:color="auto"/>
        <w:right w:val="none" w:sz="0" w:space="0" w:color="auto"/>
      </w:divBdr>
    </w:div>
    <w:div w:id="1001860708">
      <w:bodyDiv w:val="1"/>
      <w:marLeft w:val="0"/>
      <w:marRight w:val="0"/>
      <w:marTop w:val="0"/>
      <w:marBottom w:val="0"/>
      <w:divBdr>
        <w:top w:val="none" w:sz="0" w:space="0" w:color="auto"/>
        <w:left w:val="none" w:sz="0" w:space="0" w:color="auto"/>
        <w:bottom w:val="none" w:sz="0" w:space="0" w:color="auto"/>
        <w:right w:val="none" w:sz="0" w:space="0" w:color="auto"/>
      </w:divBdr>
    </w:div>
    <w:div w:id="1182547519">
      <w:bodyDiv w:val="1"/>
      <w:marLeft w:val="0"/>
      <w:marRight w:val="0"/>
      <w:marTop w:val="0"/>
      <w:marBottom w:val="0"/>
      <w:divBdr>
        <w:top w:val="none" w:sz="0" w:space="0" w:color="auto"/>
        <w:left w:val="none" w:sz="0" w:space="0" w:color="auto"/>
        <w:bottom w:val="none" w:sz="0" w:space="0" w:color="auto"/>
        <w:right w:val="none" w:sz="0" w:space="0" w:color="auto"/>
      </w:divBdr>
    </w:div>
    <w:div w:id="131125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hukyluat.vn/vb/nghi-dinh-78-2016-nd-cp-dieu-kien-kinh-doanh-dao-tao-thuyen-vien-nguoi-lai-phuong-tien-thuy-noi-dia-4d7a5.html"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153E6-29C3-48E5-BF9E-651FEE3C5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619</TotalTime>
  <Pages>16</Pages>
  <Words>4992</Words>
  <Characters>28459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36</cp:revision>
  <cp:lastPrinted>2025-06-19T20:49:00Z</cp:lastPrinted>
  <dcterms:created xsi:type="dcterms:W3CDTF">2025-06-11T08:47:00Z</dcterms:created>
  <dcterms:modified xsi:type="dcterms:W3CDTF">2025-06-19T21:10:00Z</dcterms:modified>
</cp:coreProperties>
</file>